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0C95" w14:textId="77777777" w:rsidR="00A649C0" w:rsidRDefault="00A649C0" w:rsidP="00A649C0">
      <w:pPr>
        <w:pStyle w:val="Heading1"/>
        <w:numPr>
          <w:ilvl w:val="0"/>
          <w:numId w:val="0"/>
        </w:numPr>
        <w:ind w:left="432"/>
        <w:rPr>
          <w:szCs w:val="24"/>
        </w:rPr>
      </w:pPr>
      <w:bookmarkStart w:id="0" w:name="_Toc88596686"/>
      <w:r>
        <w:rPr>
          <w:szCs w:val="24"/>
        </w:rPr>
        <w:t>ПРИЛОЖЕНИЕ 2</w:t>
      </w:r>
      <w:bookmarkStart w:id="1" w:name="_Toc70677347"/>
      <w:r>
        <w:rPr>
          <w:szCs w:val="24"/>
          <w:lang w:val="en-US"/>
        </w:rPr>
        <w:t>:</w:t>
      </w:r>
      <w:r w:rsidRPr="00220F7F">
        <w:t xml:space="preserve"> </w:t>
      </w:r>
      <w:proofErr w:type="spellStart"/>
      <w:r w:rsidRPr="00777004">
        <w:t>Регионално</w:t>
      </w:r>
      <w:proofErr w:type="spellEnd"/>
      <w:r w:rsidRPr="00777004">
        <w:t xml:space="preserve"> </w:t>
      </w:r>
      <w:proofErr w:type="spellStart"/>
      <w:r w:rsidRPr="00777004">
        <w:t>депо</w:t>
      </w:r>
      <w:proofErr w:type="spellEnd"/>
      <w:r w:rsidRPr="00777004">
        <w:t xml:space="preserve"> </w:t>
      </w:r>
      <w:proofErr w:type="spellStart"/>
      <w:r w:rsidRPr="00777004">
        <w:t>за</w:t>
      </w:r>
      <w:proofErr w:type="spellEnd"/>
      <w:r w:rsidRPr="00777004">
        <w:t xml:space="preserve"> </w:t>
      </w:r>
      <w:proofErr w:type="spellStart"/>
      <w:r w:rsidRPr="00777004">
        <w:t>нуждите</w:t>
      </w:r>
      <w:proofErr w:type="spellEnd"/>
      <w:r w:rsidRPr="00777004">
        <w:t xml:space="preserve"> </w:t>
      </w:r>
      <w:proofErr w:type="spellStart"/>
      <w:r w:rsidRPr="00777004">
        <w:t>на</w:t>
      </w:r>
      <w:proofErr w:type="spellEnd"/>
      <w:r w:rsidRPr="00777004">
        <w:t xml:space="preserve"> </w:t>
      </w:r>
      <w:proofErr w:type="spellStart"/>
      <w:r w:rsidRPr="00777004">
        <w:t>Габрово</w:t>
      </w:r>
      <w:proofErr w:type="spellEnd"/>
      <w:r w:rsidRPr="00777004">
        <w:t xml:space="preserve"> и </w:t>
      </w:r>
      <w:proofErr w:type="spellStart"/>
      <w:r w:rsidRPr="00777004">
        <w:t>Трявна</w:t>
      </w:r>
      <w:bookmarkEnd w:id="0"/>
      <w:bookmarkEnd w:id="1"/>
      <w:proofErr w:type="spellEnd"/>
    </w:p>
    <w:p w14:paraId="3E23742A" w14:textId="77777777" w:rsidR="00A649C0" w:rsidRPr="00777004" w:rsidRDefault="00A649C0" w:rsidP="00A649C0">
      <w:pPr>
        <w:spacing w:before="120" w:after="120" w:line="240" w:lineRule="auto"/>
        <w:ind w:firstLine="709"/>
        <w:jc w:val="both"/>
      </w:pPr>
    </w:p>
    <w:p w14:paraId="712C4666" w14:textId="77777777" w:rsidR="00A649C0" w:rsidRPr="00777004" w:rsidRDefault="00A649C0" w:rsidP="00A649C0">
      <w:pPr>
        <w:spacing w:before="120" w:after="120" w:line="240" w:lineRule="auto"/>
        <w:ind w:firstLine="709"/>
        <w:jc w:val="both"/>
        <w:rPr>
          <w:rFonts w:eastAsia="Calibri"/>
        </w:rPr>
      </w:pPr>
      <w:r w:rsidRPr="00777004">
        <w:rPr>
          <w:rFonts w:eastAsia="Calibri"/>
        </w:rPr>
        <w:t>Вторият най-значим европейски проект на Община Габрово през последните 10 години е „Изграждане на регионална система за управление на отпадъците в регион Габрово”, финансиран по ОП „Околна среда” 2007-2013 г. Общо изплатените средства по проекта са 17 362 хил. лв., в т.ч. 868 хил. лв. собствено участие. Проектът се изпълнява в периода 2012-2015 г., като целта е постигане на съответствие с Директива 1999/31/ЕО относно депонирането на отпадъци, посредством реконструкция и модернизация на съществуващото депо за твърди битови отпадъци в община Габрово, както и превръщането му в регионално за нуждите на общините Габрово и Трявна. С този проект се поставя началото на качествената промяна по отношение управлението на отпадъците и промяната в обществените нагласи по отношение на разделното им събиране.</w:t>
      </w:r>
    </w:p>
    <w:p w14:paraId="4A959A69"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С реализацията на проекта са изградени нова клетка за депониране на отпадъци с годишен капацитет 50 000 </w:t>
      </w:r>
      <w:r>
        <w:rPr>
          <w:rFonts w:eastAsia="Calibri"/>
          <w:lang w:val="en-US"/>
        </w:rPr>
        <w:t>t</w:t>
      </w:r>
      <w:r w:rsidRPr="00777004">
        <w:rPr>
          <w:rFonts w:eastAsia="Calibri"/>
        </w:rPr>
        <w:t xml:space="preserve">/г. и период на експлоатация 30 години. В клетката за депониране са изградени съоръжения за отвеждане на </w:t>
      </w:r>
      <w:proofErr w:type="spellStart"/>
      <w:r w:rsidRPr="00777004">
        <w:rPr>
          <w:rFonts w:eastAsia="Calibri"/>
        </w:rPr>
        <w:t>инфилтратните</w:t>
      </w:r>
      <w:proofErr w:type="spellEnd"/>
      <w:r w:rsidRPr="00777004">
        <w:rPr>
          <w:rFonts w:eastAsia="Calibri"/>
        </w:rPr>
        <w:t xml:space="preserve"> води и </w:t>
      </w:r>
      <w:proofErr w:type="spellStart"/>
      <w:r w:rsidRPr="00777004">
        <w:rPr>
          <w:rFonts w:eastAsia="Calibri"/>
        </w:rPr>
        <w:t>сметищния</w:t>
      </w:r>
      <w:proofErr w:type="spellEnd"/>
      <w:r w:rsidRPr="00777004">
        <w:rPr>
          <w:rFonts w:eastAsia="Calibri"/>
        </w:rPr>
        <w:t xml:space="preserve"> газ, които се насочват съответно към локална пречиствателна станция за отпадъчни води, работеща на принципа на обратна осмоза и инсталация за високотемпературно изгаряне на отделяните газове. Изградена е и инсталация за компостиране на растителни и хранителни отпадъци, която е с проектен капацитет 10 000 </w:t>
      </w:r>
      <w:r>
        <w:rPr>
          <w:rFonts w:eastAsia="Calibri"/>
          <w:lang w:val="en-US"/>
        </w:rPr>
        <w:t>t</w:t>
      </w:r>
      <w:r w:rsidRPr="00777004">
        <w:rPr>
          <w:rFonts w:eastAsia="Calibri"/>
        </w:rPr>
        <w:t xml:space="preserve">/г. В рамките на реализирания проект е обособена площадка за временно съхранение на строителни отпадъци и земни маси с цел тяхното оползотворяване. </w:t>
      </w:r>
    </w:p>
    <w:p w14:paraId="68518296" w14:textId="77777777" w:rsidR="00A649C0" w:rsidRPr="00777004" w:rsidRDefault="00A649C0" w:rsidP="00A649C0">
      <w:pPr>
        <w:spacing w:before="120" w:after="120" w:line="240" w:lineRule="auto"/>
        <w:ind w:firstLine="709"/>
        <w:jc w:val="both"/>
        <w:rPr>
          <w:rFonts w:eastAsia="Calibri"/>
        </w:rPr>
      </w:pPr>
      <w:r w:rsidRPr="00777004">
        <w:rPr>
          <w:rFonts w:eastAsia="Calibri"/>
        </w:rPr>
        <w:t>През 2019</w:t>
      </w:r>
      <w:r>
        <w:rPr>
          <w:rFonts w:eastAsia="Calibri"/>
          <w:lang w:val="en-US"/>
        </w:rPr>
        <w:t> </w:t>
      </w:r>
      <w:r w:rsidRPr="00777004">
        <w:rPr>
          <w:rFonts w:eastAsia="Calibri"/>
        </w:rPr>
        <w:t xml:space="preserve">г. Община Габрово придоби мобилен </w:t>
      </w:r>
      <w:proofErr w:type="spellStart"/>
      <w:r w:rsidRPr="00777004">
        <w:rPr>
          <w:rFonts w:eastAsia="Calibri"/>
        </w:rPr>
        <w:t>шредер</w:t>
      </w:r>
      <w:proofErr w:type="spellEnd"/>
      <w:r w:rsidRPr="00777004">
        <w:rPr>
          <w:rFonts w:eastAsia="Calibri"/>
        </w:rPr>
        <w:t xml:space="preserve">, предназначен за третиране на едрогабаритни отпадъци (мебели, дървени плоскости и др.) и строителни отпадъци, с което площадката за временно съхранение се разделя на два участъка – за съхранение на строителни отпадъци и за съхранение на дървени отпадъци. Капацитетът за временно съхранение на строителните отпадъци е 1 500 </w:t>
      </w:r>
      <w:r>
        <w:rPr>
          <w:rFonts w:eastAsia="Calibri"/>
          <w:lang w:val="en-US"/>
        </w:rPr>
        <w:t>t</w:t>
      </w:r>
      <w:r w:rsidRPr="00777004">
        <w:rPr>
          <w:rFonts w:eastAsia="Calibri"/>
        </w:rPr>
        <w:t>/г.</w:t>
      </w:r>
      <w:r>
        <w:rPr>
          <w:rFonts w:eastAsia="Calibri"/>
        </w:rPr>
        <w:t xml:space="preserve"> </w:t>
      </w:r>
      <w:r w:rsidRPr="00777004">
        <w:rPr>
          <w:rFonts w:eastAsia="Calibri"/>
        </w:rPr>
        <w:t>При реализацията на проекта е изградена и площадка за проектиране и изграждане на сепарираща инсталация. Чрез процедура, проведена по реда на ЗОП е избран изпълнител за извършване на услугата „сепариране на смесени битови отпадъци“, като чрез договора, освен услугата е възложено и изграждане на хале и доставка и монтаж на инсталацията. С изтичането на договора през 2019</w:t>
      </w:r>
      <w:r>
        <w:rPr>
          <w:rFonts w:eastAsia="Calibri"/>
          <w:lang w:val="en-US"/>
        </w:rPr>
        <w:t> </w:t>
      </w:r>
      <w:r w:rsidRPr="00777004">
        <w:rPr>
          <w:rFonts w:eastAsia="Calibri"/>
        </w:rPr>
        <w:t>г. производственото хале на сепариращата инсталация става собственост на Община Габрово. През 2020</w:t>
      </w:r>
      <w:r>
        <w:rPr>
          <w:rFonts w:eastAsia="Calibri"/>
          <w:lang w:val="en-US"/>
        </w:rPr>
        <w:t> </w:t>
      </w:r>
      <w:r w:rsidRPr="00777004">
        <w:rPr>
          <w:rFonts w:eastAsia="Calibri"/>
        </w:rPr>
        <w:t xml:space="preserve">г. е сключен договор за извършване на услугата по предварително третиране на битови отпадъци с нов изпълнител. </w:t>
      </w:r>
    </w:p>
    <w:p w14:paraId="1A0BA988" w14:textId="77777777" w:rsidR="00A649C0" w:rsidRPr="00777004" w:rsidRDefault="00A649C0" w:rsidP="00A649C0">
      <w:pPr>
        <w:spacing w:before="120" w:after="120" w:line="240" w:lineRule="auto"/>
        <w:ind w:firstLine="709"/>
        <w:jc w:val="both"/>
        <w:rPr>
          <w:rFonts w:eastAsia="Calibri"/>
        </w:rPr>
      </w:pPr>
      <w:r w:rsidRPr="00777004">
        <w:rPr>
          <w:rFonts w:eastAsia="Calibri"/>
        </w:rPr>
        <w:t>От анализите на количествата депониран отпадък от 2016</w:t>
      </w:r>
      <w:r>
        <w:rPr>
          <w:rFonts w:eastAsia="Calibri"/>
          <w:lang w:val="en-US"/>
        </w:rPr>
        <w:t> </w:t>
      </w:r>
      <w:r w:rsidRPr="00777004">
        <w:rPr>
          <w:rFonts w:eastAsia="Calibri"/>
        </w:rPr>
        <w:t>г. до 2019</w:t>
      </w:r>
      <w:r>
        <w:rPr>
          <w:rFonts w:eastAsia="Calibri"/>
          <w:lang w:val="en-US"/>
        </w:rPr>
        <w:t> </w:t>
      </w:r>
      <w:r w:rsidRPr="00777004">
        <w:rPr>
          <w:rFonts w:eastAsia="Calibri"/>
        </w:rPr>
        <w:t xml:space="preserve">г. се наблюдава тенденция на повишаване на общите количества депонирани отпадъци. </w:t>
      </w:r>
    </w:p>
    <w:p w14:paraId="4C73959B" w14:textId="77777777" w:rsidR="00A649C0" w:rsidRPr="00777004" w:rsidRDefault="00A649C0" w:rsidP="00A649C0">
      <w:pPr>
        <w:spacing w:before="120" w:after="120" w:line="240" w:lineRule="auto"/>
        <w:ind w:firstLine="709"/>
        <w:jc w:val="both"/>
        <w:rPr>
          <w:rFonts w:eastAsia="Calibri"/>
        </w:rPr>
      </w:pPr>
      <w:r w:rsidRPr="00777004">
        <w:rPr>
          <w:rFonts w:eastAsia="Calibri"/>
          <w:noProof/>
          <w:lang w:eastAsia="bg-BG"/>
        </w:rPr>
        <w:lastRenderedPageBreak/>
        <w:drawing>
          <wp:inline distT="0" distB="0" distL="0" distR="0" wp14:anchorId="7BF9D6AC" wp14:editId="3AAD903A">
            <wp:extent cx="5173848" cy="1710047"/>
            <wp:effectExtent l="0" t="0" r="0" b="0"/>
            <wp:docPr id="61" name="Chart 6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777004">
        <w:rPr>
          <w:rFonts w:eastAsia="Calibri"/>
          <w:sz w:val="20"/>
          <w:szCs w:val="20"/>
        </w:rPr>
        <w:t>Източник: Община Габрово – ОП „Регионално депо за неопасни отпадъци“ - Габрово</w:t>
      </w:r>
    </w:p>
    <w:p w14:paraId="093F34ED"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От разпределението на депонирания отпадък по вид (код съгласно Наредба № 2 за класификация на отпадъците) се забелязва, че директно депонирания смесен битов отпадък (отпадък с код 20 03 01 от Наредба за класификация на отпадъците) нараства с приблизително 1000 </w:t>
      </w:r>
      <w:r>
        <w:rPr>
          <w:rFonts w:eastAsia="Calibri"/>
          <w:lang w:val="en-US"/>
        </w:rPr>
        <w:t>t</w:t>
      </w:r>
      <w:r w:rsidRPr="00777004">
        <w:rPr>
          <w:rFonts w:eastAsia="Calibri"/>
        </w:rPr>
        <w:t xml:space="preserve">/г. за всяка следваща година. От графиката се наблюдава по-сериозно повишаване на депонираните отпадъци през 2018 и 2019 г. Това се дължи на големи количества строителни отпадъци, постъпили от събаряне на общински жилищни сгради, също така на 15.08.2019 г. е изтекъл договора за сепариране на смесени битови отпадъци, което е наложило известно редуциране на постъпващия за предварително третиране битов отпадък, с което се е увеличило депонирането. </w:t>
      </w:r>
    </w:p>
    <w:p w14:paraId="58DE24DD"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След като Община Габрово сключи нов договор за сепариране със цел за </w:t>
      </w:r>
      <w:proofErr w:type="spellStart"/>
      <w:r w:rsidRPr="00777004">
        <w:rPr>
          <w:rFonts w:eastAsia="Calibri"/>
        </w:rPr>
        <w:t>отсортиране</w:t>
      </w:r>
      <w:proofErr w:type="spellEnd"/>
      <w:r w:rsidRPr="00777004">
        <w:rPr>
          <w:rFonts w:eastAsia="Calibri"/>
        </w:rPr>
        <w:t xml:space="preserve"> на минимум 30</w:t>
      </w:r>
      <w:r>
        <w:rPr>
          <w:rFonts w:eastAsia="Calibri"/>
          <w:lang w:val="en-US"/>
        </w:rPr>
        <w:t> </w:t>
      </w:r>
      <w:r w:rsidRPr="00777004">
        <w:rPr>
          <w:rFonts w:eastAsia="Calibri"/>
        </w:rPr>
        <w:t xml:space="preserve">% </w:t>
      </w:r>
      <w:proofErr w:type="spellStart"/>
      <w:r w:rsidRPr="00777004">
        <w:rPr>
          <w:rFonts w:eastAsia="Calibri"/>
        </w:rPr>
        <w:t>оползотворими</w:t>
      </w:r>
      <w:proofErr w:type="spellEnd"/>
      <w:r w:rsidRPr="00777004">
        <w:rPr>
          <w:rFonts w:eastAsia="Calibri"/>
        </w:rPr>
        <w:t xml:space="preserve"> материали, към края на 2020</w:t>
      </w:r>
      <w:r>
        <w:rPr>
          <w:rFonts w:eastAsia="Calibri"/>
          <w:lang w:val="en-US"/>
        </w:rPr>
        <w:t> </w:t>
      </w:r>
      <w:r w:rsidRPr="00777004">
        <w:rPr>
          <w:rFonts w:eastAsia="Calibri"/>
        </w:rPr>
        <w:t>г</w:t>
      </w:r>
      <w:r>
        <w:rPr>
          <w:rFonts w:eastAsia="Calibri"/>
          <w:lang w:val="en-US"/>
        </w:rPr>
        <w:t>.</w:t>
      </w:r>
      <w:r w:rsidRPr="00777004">
        <w:rPr>
          <w:rFonts w:eastAsia="Calibri"/>
        </w:rPr>
        <w:t xml:space="preserve"> количеството депониран отпадък, образуван на територията на община Габрово, е 17</w:t>
      </w:r>
      <w:r>
        <w:rPr>
          <w:rFonts w:eastAsia="Calibri"/>
          <w:lang w:val="en-US"/>
        </w:rPr>
        <w:t> </w:t>
      </w:r>
      <w:r w:rsidRPr="00777004">
        <w:rPr>
          <w:rFonts w:eastAsia="Calibri"/>
        </w:rPr>
        <w:t>180</w:t>
      </w:r>
      <w:r>
        <w:rPr>
          <w:rFonts w:eastAsia="Calibri"/>
          <w:lang w:val="en-US"/>
        </w:rPr>
        <w:t> t</w:t>
      </w:r>
      <w:r w:rsidRPr="00777004">
        <w:rPr>
          <w:rFonts w:eastAsia="Calibri"/>
        </w:rPr>
        <w:t xml:space="preserve">, което нарушава тенденцията за повишаване на депонираните отпадъци. </w:t>
      </w:r>
    </w:p>
    <w:p w14:paraId="5D391809"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Според извършения морфологичен анализ на състава на депонираните отпадъци, има не малък процент </w:t>
      </w:r>
      <w:proofErr w:type="spellStart"/>
      <w:r w:rsidRPr="00777004">
        <w:rPr>
          <w:rFonts w:eastAsia="Calibri"/>
        </w:rPr>
        <w:t>рециклируеми</w:t>
      </w:r>
      <w:proofErr w:type="spellEnd"/>
      <w:r w:rsidRPr="00777004">
        <w:rPr>
          <w:rFonts w:eastAsia="Calibri"/>
        </w:rPr>
        <w:t xml:space="preserve"> и </w:t>
      </w:r>
      <w:proofErr w:type="spellStart"/>
      <w:r w:rsidRPr="00777004">
        <w:rPr>
          <w:rFonts w:eastAsia="Calibri"/>
        </w:rPr>
        <w:t>оползотворими</w:t>
      </w:r>
      <w:proofErr w:type="spellEnd"/>
      <w:r w:rsidRPr="00777004">
        <w:rPr>
          <w:rFonts w:eastAsia="Calibri"/>
        </w:rPr>
        <w:t xml:space="preserve"> фракции, които могат да подпомогнат постигането на целите за намаляване на депонираните битови отпадъци. 30% от отпадъците след сепариране са </w:t>
      </w:r>
      <w:proofErr w:type="spellStart"/>
      <w:r w:rsidRPr="00777004">
        <w:rPr>
          <w:rFonts w:eastAsia="Calibri"/>
        </w:rPr>
        <w:t>рециклируеми</w:t>
      </w:r>
      <w:proofErr w:type="spellEnd"/>
      <w:r w:rsidRPr="00777004">
        <w:rPr>
          <w:rFonts w:eastAsia="Calibri"/>
        </w:rPr>
        <w:t xml:space="preserve">, но поради замърсявания или недостатъчно добра ефективност на сепариращата инсталация, същите са попаднали в потока отпадъци след механично третиране, предназначени за депониране. Наблюдава се и много висок процент на биоразградимите отпадъци, което води до заключението, че част от населението не използва по подходящ начин съдовете за разделно събиране на битовите отпадъци. В резултатите от анализа за отпадъците постъпващи от градската част (отпадъци от съдовете за биоразградими отпадъци) се наблюдава понижаване на </w:t>
      </w:r>
      <w:proofErr w:type="spellStart"/>
      <w:r w:rsidRPr="00777004">
        <w:rPr>
          <w:rFonts w:eastAsia="Calibri"/>
        </w:rPr>
        <w:t>бионеразградимите</w:t>
      </w:r>
      <w:proofErr w:type="spellEnd"/>
      <w:r w:rsidRPr="00777004">
        <w:rPr>
          <w:rFonts w:eastAsia="Calibri"/>
        </w:rPr>
        <w:t xml:space="preserve"> замърсители. Независимо от това, все още количествата не са намалели до толкова, че да позволяват използването им за производство на компост съгласно изискванията.</w:t>
      </w:r>
    </w:p>
    <w:p w14:paraId="725C04BB"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По отношение изградената </w:t>
      </w:r>
      <w:proofErr w:type="spellStart"/>
      <w:r w:rsidRPr="00777004">
        <w:rPr>
          <w:rFonts w:eastAsia="Calibri"/>
        </w:rPr>
        <w:t>компостираща</w:t>
      </w:r>
      <w:proofErr w:type="spellEnd"/>
      <w:r w:rsidRPr="00777004">
        <w:rPr>
          <w:rFonts w:eastAsia="Calibri"/>
        </w:rPr>
        <w:t xml:space="preserve"> инсталация, постъпващия отпадък е основно с растителен произход. От август месец 2017 г. Община Габрово стартира инициатива за разделно събиране на биоотпадъци от обекти, </w:t>
      </w:r>
      <w:proofErr w:type="spellStart"/>
      <w:r w:rsidRPr="00777004">
        <w:rPr>
          <w:rFonts w:eastAsia="Calibri"/>
        </w:rPr>
        <w:t>извършваши</w:t>
      </w:r>
      <w:proofErr w:type="spellEnd"/>
      <w:r w:rsidRPr="00777004">
        <w:rPr>
          <w:rFonts w:eastAsia="Calibri"/>
        </w:rPr>
        <w:t xml:space="preserve"> продажба на плодове и зеленчуци, чрез предоставяне на индивидуални съдове за биоотпадъци. </w:t>
      </w:r>
    </w:p>
    <w:p w14:paraId="4F2E769D" w14:textId="77777777" w:rsidR="00A649C0" w:rsidRPr="00777004" w:rsidRDefault="00A649C0" w:rsidP="00A649C0">
      <w:pPr>
        <w:spacing w:before="120" w:after="120" w:line="240" w:lineRule="auto"/>
        <w:ind w:firstLine="709"/>
        <w:jc w:val="both"/>
        <w:rPr>
          <w:rFonts w:eastAsia="Calibri"/>
        </w:rPr>
      </w:pPr>
      <w:r w:rsidRPr="00777004">
        <w:rPr>
          <w:rFonts w:eastAsia="Calibri"/>
          <w:noProof/>
          <w:lang w:eastAsia="bg-BG"/>
        </w:rPr>
        <w:lastRenderedPageBreak/>
        <w:drawing>
          <wp:inline distT="0" distB="0" distL="0" distR="0" wp14:anchorId="2F82D1C5" wp14:editId="48B63E18">
            <wp:extent cx="4499652" cy="2155371"/>
            <wp:effectExtent l="0" t="0" r="0" b="0"/>
            <wp:docPr id="62" name="Chart 6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894877" w14:textId="77777777" w:rsidR="00A649C0" w:rsidRPr="00777004" w:rsidRDefault="00A649C0" w:rsidP="00A649C0">
      <w:pPr>
        <w:spacing w:before="120" w:after="120" w:line="240" w:lineRule="auto"/>
        <w:ind w:firstLine="709"/>
        <w:jc w:val="both"/>
        <w:rPr>
          <w:rFonts w:eastAsia="Calibri"/>
          <w:sz w:val="20"/>
          <w:szCs w:val="20"/>
        </w:rPr>
      </w:pPr>
      <w:r w:rsidRPr="00777004">
        <w:rPr>
          <w:rFonts w:eastAsia="Calibri"/>
          <w:sz w:val="20"/>
          <w:szCs w:val="20"/>
        </w:rPr>
        <w:t>Източник: Община Габрово – ОП „Регионално депо за неопасни отпадъци“ – Габрово</w:t>
      </w:r>
    </w:p>
    <w:p w14:paraId="61ADD87E" w14:textId="77777777" w:rsidR="00A649C0" w:rsidRPr="00777004" w:rsidRDefault="00A649C0" w:rsidP="00A649C0">
      <w:pPr>
        <w:spacing w:before="120" w:after="120" w:line="240" w:lineRule="auto"/>
        <w:ind w:firstLine="709"/>
        <w:jc w:val="both"/>
        <w:rPr>
          <w:rFonts w:eastAsia="Calibri"/>
        </w:rPr>
      </w:pPr>
      <w:r w:rsidRPr="00777004">
        <w:rPr>
          <w:rFonts w:eastAsia="Calibri"/>
        </w:rPr>
        <w:t>От графиката се вижда увеличение както в постъпващия отпадък за компостиране, така и в произведения компост. Повишаването на количествата произведен компост се дължи основно на въведената система за разделно събиране на отпадъците от обекти за продажба на плодове и зеленчуци.</w:t>
      </w:r>
    </w:p>
    <w:p w14:paraId="65573CC0"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Тенденцията за повишаване на количествата биоразградими отпадъци, постъпващи на </w:t>
      </w:r>
      <w:proofErr w:type="spellStart"/>
      <w:r w:rsidRPr="00777004">
        <w:rPr>
          <w:rFonts w:eastAsia="Calibri"/>
        </w:rPr>
        <w:t>компостиращата</w:t>
      </w:r>
      <w:proofErr w:type="spellEnd"/>
      <w:r w:rsidRPr="00777004">
        <w:rPr>
          <w:rFonts w:eastAsia="Calibri"/>
        </w:rPr>
        <w:t xml:space="preserve"> инсталация се дължи на преустановяване на практиката за поставяне от страна на гражданите и последващо събиране на едри растителни отпадъци до съдовете за битови отпадъци и широкото оповестяване относно безвъзмездния прием на такъв вид отпадък на регионалното депо.</w:t>
      </w:r>
    </w:p>
    <w:p w14:paraId="5EC28FED" w14:textId="77777777" w:rsidR="00A649C0" w:rsidRPr="00777004" w:rsidRDefault="00A649C0" w:rsidP="00A649C0">
      <w:pPr>
        <w:spacing w:before="120" w:after="120" w:line="240" w:lineRule="auto"/>
        <w:ind w:firstLine="709"/>
        <w:jc w:val="both"/>
        <w:rPr>
          <w:rFonts w:eastAsia="Calibri"/>
          <w:sz w:val="20"/>
        </w:rPr>
      </w:pPr>
      <w:r w:rsidRPr="00777004">
        <w:rPr>
          <w:rFonts w:eastAsia="Calibri"/>
        </w:rPr>
        <w:t>Временното съхранение на строителни отпадъци, образувани от текущи ремонти се осъществява на специализирана площадка, разположена на регионалното депо като от 2018 г. на нея се съхраняват и дървесни отпадъци, от третиране на едрогабаритните такива. На 01.04.2019 г. е сключено споразумение за сътрудничество с „Кроношпан България“ ЕООД за предаване на отделените дървесни отпадъци, неподходящи за компостиране, с цел тяхното рециклиране.</w:t>
      </w:r>
    </w:p>
    <w:p w14:paraId="691872CD" w14:textId="77777777" w:rsidR="00A649C0" w:rsidRPr="00777004" w:rsidRDefault="00A649C0" w:rsidP="00A649C0">
      <w:pPr>
        <w:spacing w:before="120" w:after="120" w:line="240" w:lineRule="auto"/>
        <w:ind w:firstLine="709"/>
        <w:jc w:val="both"/>
        <w:rPr>
          <w:rFonts w:eastAsia="Calibri"/>
        </w:rPr>
      </w:pPr>
      <w:r>
        <w:rPr>
          <w:rFonts w:eastAsia="Calibri"/>
        </w:rPr>
        <w:t>Н</w:t>
      </w:r>
      <w:r w:rsidRPr="00777004">
        <w:rPr>
          <w:rFonts w:eastAsia="Calibri"/>
        </w:rPr>
        <w:t xml:space="preserve">аблюдава </w:t>
      </w:r>
      <w:r>
        <w:rPr>
          <w:rFonts w:eastAsia="Calibri"/>
        </w:rPr>
        <w:t xml:space="preserve">се </w:t>
      </w:r>
      <w:r w:rsidRPr="00777004">
        <w:rPr>
          <w:rFonts w:eastAsia="Calibri"/>
        </w:rPr>
        <w:t xml:space="preserve">тенденция в повишаване на количествата през годините. Повишението в количествата земни маси е продиктувано от задължението за ежедневно </w:t>
      </w:r>
      <w:proofErr w:type="spellStart"/>
      <w:r w:rsidRPr="00777004">
        <w:rPr>
          <w:rFonts w:eastAsia="Calibri"/>
        </w:rPr>
        <w:t>запръстяване</w:t>
      </w:r>
      <w:proofErr w:type="spellEnd"/>
      <w:r w:rsidRPr="00777004">
        <w:rPr>
          <w:rFonts w:eastAsia="Calibri"/>
        </w:rPr>
        <w:t xml:space="preserve"> на клетката за депониране, както и на регламентирането на механизъм за безвъзмезден прием на строителни отпадъци от текущи ремонти на домакинствата на регионалното депо. През 2019 г. количествата значително са се увеличили и поради събаряне на общински жилищни сгради. </w:t>
      </w:r>
    </w:p>
    <w:p w14:paraId="69F91E67"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Услугата по предварително третиране (сепариране) на битови отпадъци се извършва от външен изпълнител, избран по реда на ЗОП. От влизането в експлоатация на Регионалното депо до февруари 2020 г. количествата </w:t>
      </w:r>
      <w:proofErr w:type="spellStart"/>
      <w:r w:rsidRPr="00777004">
        <w:rPr>
          <w:rFonts w:eastAsia="Calibri"/>
        </w:rPr>
        <w:t>отсортирани</w:t>
      </w:r>
      <w:proofErr w:type="spellEnd"/>
      <w:r w:rsidRPr="00777004">
        <w:rPr>
          <w:rFonts w:eastAsia="Calibri"/>
        </w:rPr>
        <w:t xml:space="preserve"> и оползотворени отпадъци са били 20,54% при годишен капацитет на вход 15 000 </w:t>
      </w:r>
      <w:r>
        <w:rPr>
          <w:rFonts w:eastAsia="Calibri"/>
          <w:lang w:val="en-US"/>
        </w:rPr>
        <w:t>t</w:t>
      </w:r>
      <w:r w:rsidRPr="00777004">
        <w:rPr>
          <w:rFonts w:eastAsia="Calibri"/>
        </w:rPr>
        <w:t xml:space="preserve">. След сключването на договор с нов изпълнител поставените цели за </w:t>
      </w:r>
      <w:proofErr w:type="spellStart"/>
      <w:r w:rsidRPr="00777004">
        <w:rPr>
          <w:rFonts w:eastAsia="Calibri"/>
        </w:rPr>
        <w:t>отсортиране</w:t>
      </w:r>
      <w:proofErr w:type="spellEnd"/>
      <w:r w:rsidRPr="00777004">
        <w:rPr>
          <w:rFonts w:eastAsia="Calibri"/>
        </w:rPr>
        <w:t xml:space="preserve"> и последващо предаване на отпадъци са 30% спрямо постъпващите количества на вход с увеличен капацитет на 19 000 </w:t>
      </w:r>
      <w:r>
        <w:rPr>
          <w:rFonts w:eastAsia="Calibri"/>
          <w:lang w:val="en-US"/>
        </w:rPr>
        <w:t>t</w:t>
      </w:r>
      <w:r w:rsidRPr="00777004">
        <w:rPr>
          <w:rFonts w:eastAsia="Calibri"/>
        </w:rPr>
        <w:t xml:space="preserve">. </w:t>
      </w:r>
    </w:p>
    <w:p w14:paraId="15103FE5"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Бъдещите изисквания по отношение управлението на отпадъците налагат необходимостта от по-ефективно използване на ресурсите и отпадъците, водещо до </w:t>
      </w:r>
      <w:r w:rsidRPr="00777004">
        <w:rPr>
          <w:rFonts w:eastAsia="Calibri"/>
        </w:rPr>
        <w:lastRenderedPageBreak/>
        <w:t>създаване на по-устойчиви модели на производство и потребление. Цели се преустановяване на порочната връзка между използването на природните ресурси и образуването на отпадъци и нивото на икономическия растеж. </w:t>
      </w:r>
    </w:p>
    <w:p w14:paraId="2B6FEBF1"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По данни на НСИ генерираните на територията на община Габрово битови отпадъци на човек от населението се движат около средните стойности за страната от 410-420 </w:t>
      </w:r>
      <w:r>
        <w:rPr>
          <w:rFonts w:eastAsia="Calibri"/>
          <w:lang w:val="en-US"/>
        </w:rPr>
        <w:t>kg</w:t>
      </w:r>
      <w:r w:rsidRPr="00777004">
        <w:rPr>
          <w:rFonts w:eastAsia="Calibri"/>
        </w:rPr>
        <w:t>/глава за периода 2015-2018 година. Наблюдава се известно увеличение през 2018</w:t>
      </w:r>
      <w:r>
        <w:rPr>
          <w:rFonts w:eastAsia="Calibri"/>
          <w:lang w:val="en-US"/>
        </w:rPr>
        <w:t> </w:t>
      </w:r>
      <w:r w:rsidRPr="00777004">
        <w:rPr>
          <w:rFonts w:eastAsia="Calibri"/>
        </w:rPr>
        <w:t xml:space="preserve">г., като битовите отпадъци достигат 477 </w:t>
      </w:r>
      <w:r>
        <w:rPr>
          <w:rFonts w:eastAsia="Calibri"/>
          <w:lang w:val="en-US"/>
        </w:rPr>
        <w:t>kg</w:t>
      </w:r>
      <w:r w:rsidRPr="00777004">
        <w:rPr>
          <w:rFonts w:eastAsia="Calibri"/>
        </w:rPr>
        <w:t>/човек. Данните, предоставени от НСИ, са изготвени на база статистическа оценка, като към битовите отпадъци са включени и строителни такива, именно на това се дължи и голямата разлика в количествата през 2017 и 2018</w:t>
      </w:r>
      <w:r>
        <w:rPr>
          <w:rFonts w:eastAsia="Calibri"/>
          <w:lang w:val="en-US"/>
        </w:rPr>
        <w:t> </w:t>
      </w:r>
      <w:r w:rsidRPr="00777004">
        <w:rPr>
          <w:rFonts w:eastAsia="Calibri"/>
        </w:rPr>
        <w:t xml:space="preserve">г. </w:t>
      </w:r>
    </w:p>
    <w:p w14:paraId="7FBB356B" w14:textId="77777777" w:rsidR="00A649C0" w:rsidRDefault="00A649C0" w:rsidP="00A649C0">
      <w:pPr>
        <w:spacing w:before="120" w:after="120" w:line="240" w:lineRule="auto"/>
        <w:ind w:firstLine="709"/>
        <w:jc w:val="both"/>
        <w:rPr>
          <w:rFonts w:eastAsia="Calibri"/>
        </w:rPr>
      </w:pPr>
      <w:r w:rsidRPr="00777004">
        <w:rPr>
          <w:rFonts w:eastAsia="Calibri"/>
        </w:rPr>
        <w:t xml:space="preserve">През 2019 г. в рамките на проект „Определяне на морфологичния състав на битовите отпадъци в България“ с Възложител Предприятие за управление на дейностите по опазване на околната среда, беше извършен анализ на състава на битовите отпадъци, образувани във всички общини. </w:t>
      </w:r>
    </w:p>
    <w:tbl>
      <w:tblPr>
        <w:tblpPr w:leftFromText="141" w:rightFromText="141" w:vertAnchor="text" w:horzAnchor="margin" w:tblpX="108" w:tblpY="311"/>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03"/>
      </w:tblGrid>
      <w:tr w:rsidR="00A649C0" w:rsidRPr="0092461C" w14:paraId="699BF213" w14:textId="77777777" w:rsidTr="00526F8A">
        <w:tc>
          <w:tcPr>
            <w:tcW w:w="1993" w:type="dxa"/>
            <w:shd w:val="clear" w:color="auto" w:fill="DAEEF3"/>
          </w:tcPr>
          <w:p w14:paraId="4BFD44E7"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Вид отпадък</w:t>
            </w:r>
          </w:p>
        </w:tc>
        <w:tc>
          <w:tcPr>
            <w:tcW w:w="6703" w:type="dxa"/>
            <w:shd w:val="clear" w:color="auto" w:fill="DAEEF3"/>
          </w:tcPr>
          <w:p w14:paraId="4E4935A6"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Съотношение на вида отпадък спрямо общото количество образувани отпадъци, %</w:t>
            </w:r>
          </w:p>
        </w:tc>
      </w:tr>
      <w:tr w:rsidR="00A649C0" w:rsidRPr="0092461C" w14:paraId="6EDB22C9" w14:textId="77777777" w:rsidTr="00526F8A">
        <w:tc>
          <w:tcPr>
            <w:tcW w:w="1993" w:type="dxa"/>
            <w:shd w:val="clear" w:color="auto" w:fill="auto"/>
          </w:tcPr>
          <w:p w14:paraId="1EA2BBC4"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Хранителни</w:t>
            </w:r>
          </w:p>
        </w:tc>
        <w:tc>
          <w:tcPr>
            <w:tcW w:w="6703" w:type="dxa"/>
            <w:shd w:val="clear" w:color="auto" w:fill="auto"/>
            <w:vAlign w:val="bottom"/>
          </w:tcPr>
          <w:p w14:paraId="640A0127"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15,41%</w:t>
            </w:r>
          </w:p>
        </w:tc>
      </w:tr>
      <w:tr w:rsidR="00A649C0" w:rsidRPr="0092461C" w14:paraId="018C8BEA" w14:textId="77777777" w:rsidTr="00526F8A">
        <w:tc>
          <w:tcPr>
            <w:tcW w:w="1993" w:type="dxa"/>
            <w:shd w:val="clear" w:color="auto" w:fill="auto"/>
          </w:tcPr>
          <w:p w14:paraId="67D26F41"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Хартия и картон</w:t>
            </w:r>
          </w:p>
        </w:tc>
        <w:tc>
          <w:tcPr>
            <w:tcW w:w="6703" w:type="dxa"/>
            <w:shd w:val="clear" w:color="auto" w:fill="auto"/>
            <w:vAlign w:val="bottom"/>
          </w:tcPr>
          <w:p w14:paraId="0F0302BB"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12,23%</w:t>
            </w:r>
          </w:p>
        </w:tc>
      </w:tr>
      <w:tr w:rsidR="00A649C0" w:rsidRPr="0092461C" w14:paraId="5A1B0275" w14:textId="77777777" w:rsidTr="00526F8A">
        <w:tc>
          <w:tcPr>
            <w:tcW w:w="1993" w:type="dxa"/>
            <w:shd w:val="clear" w:color="auto" w:fill="auto"/>
          </w:tcPr>
          <w:p w14:paraId="07E04A88"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Пластмаса</w:t>
            </w:r>
          </w:p>
        </w:tc>
        <w:tc>
          <w:tcPr>
            <w:tcW w:w="6703" w:type="dxa"/>
            <w:shd w:val="clear" w:color="auto" w:fill="auto"/>
            <w:vAlign w:val="bottom"/>
          </w:tcPr>
          <w:p w14:paraId="4297F190"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12,83%</w:t>
            </w:r>
          </w:p>
        </w:tc>
      </w:tr>
      <w:tr w:rsidR="00A649C0" w:rsidRPr="0092461C" w14:paraId="3AC35C14" w14:textId="77777777" w:rsidTr="00526F8A">
        <w:tc>
          <w:tcPr>
            <w:tcW w:w="1993" w:type="dxa"/>
            <w:shd w:val="clear" w:color="auto" w:fill="auto"/>
          </w:tcPr>
          <w:p w14:paraId="593A1C44"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Текстил</w:t>
            </w:r>
          </w:p>
        </w:tc>
        <w:tc>
          <w:tcPr>
            <w:tcW w:w="6703" w:type="dxa"/>
            <w:shd w:val="clear" w:color="auto" w:fill="auto"/>
            <w:vAlign w:val="bottom"/>
          </w:tcPr>
          <w:p w14:paraId="255B4DC6"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4,74%</w:t>
            </w:r>
          </w:p>
        </w:tc>
      </w:tr>
      <w:tr w:rsidR="00A649C0" w:rsidRPr="0092461C" w14:paraId="78628FB7" w14:textId="77777777" w:rsidTr="00526F8A">
        <w:tc>
          <w:tcPr>
            <w:tcW w:w="1993" w:type="dxa"/>
            <w:shd w:val="clear" w:color="auto" w:fill="auto"/>
          </w:tcPr>
          <w:p w14:paraId="73B0391D"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Гума</w:t>
            </w:r>
          </w:p>
        </w:tc>
        <w:tc>
          <w:tcPr>
            <w:tcW w:w="6703" w:type="dxa"/>
            <w:shd w:val="clear" w:color="auto" w:fill="auto"/>
            <w:vAlign w:val="bottom"/>
          </w:tcPr>
          <w:p w14:paraId="4A8C032C"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1,53%</w:t>
            </w:r>
          </w:p>
        </w:tc>
      </w:tr>
      <w:tr w:rsidR="00A649C0" w:rsidRPr="0092461C" w14:paraId="045A5232" w14:textId="77777777" w:rsidTr="00526F8A">
        <w:tc>
          <w:tcPr>
            <w:tcW w:w="1993" w:type="dxa"/>
            <w:shd w:val="clear" w:color="auto" w:fill="auto"/>
          </w:tcPr>
          <w:p w14:paraId="78304C6C"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Кожа</w:t>
            </w:r>
          </w:p>
        </w:tc>
        <w:tc>
          <w:tcPr>
            <w:tcW w:w="6703" w:type="dxa"/>
            <w:shd w:val="clear" w:color="auto" w:fill="auto"/>
            <w:vAlign w:val="bottom"/>
          </w:tcPr>
          <w:p w14:paraId="6FF0CFA1"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1,37%</w:t>
            </w:r>
          </w:p>
        </w:tc>
      </w:tr>
      <w:tr w:rsidR="00A649C0" w:rsidRPr="0092461C" w14:paraId="70864BE4" w14:textId="77777777" w:rsidTr="00526F8A">
        <w:tc>
          <w:tcPr>
            <w:tcW w:w="1993" w:type="dxa"/>
            <w:shd w:val="clear" w:color="auto" w:fill="auto"/>
          </w:tcPr>
          <w:p w14:paraId="181001A3"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Градински</w:t>
            </w:r>
          </w:p>
        </w:tc>
        <w:tc>
          <w:tcPr>
            <w:tcW w:w="6703" w:type="dxa"/>
            <w:shd w:val="clear" w:color="auto" w:fill="auto"/>
            <w:vAlign w:val="bottom"/>
          </w:tcPr>
          <w:p w14:paraId="391B89E8"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9,89%</w:t>
            </w:r>
          </w:p>
        </w:tc>
      </w:tr>
      <w:tr w:rsidR="00A649C0" w:rsidRPr="0092461C" w14:paraId="2E61446D" w14:textId="77777777" w:rsidTr="00526F8A">
        <w:tc>
          <w:tcPr>
            <w:tcW w:w="1993" w:type="dxa"/>
            <w:shd w:val="clear" w:color="auto" w:fill="auto"/>
          </w:tcPr>
          <w:p w14:paraId="6B1A5606"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Дървесни</w:t>
            </w:r>
          </w:p>
        </w:tc>
        <w:tc>
          <w:tcPr>
            <w:tcW w:w="6703" w:type="dxa"/>
            <w:shd w:val="clear" w:color="auto" w:fill="auto"/>
            <w:vAlign w:val="bottom"/>
          </w:tcPr>
          <w:p w14:paraId="6C63091B"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0,69%</w:t>
            </w:r>
          </w:p>
        </w:tc>
      </w:tr>
      <w:tr w:rsidR="00A649C0" w:rsidRPr="0092461C" w14:paraId="7308F07B" w14:textId="77777777" w:rsidTr="00526F8A">
        <w:tc>
          <w:tcPr>
            <w:tcW w:w="1993" w:type="dxa"/>
            <w:shd w:val="clear" w:color="auto" w:fill="auto"/>
          </w:tcPr>
          <w:p w14:paraId="648AC790"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Стъкло</w:t>
            </w:r>
          </w:p>
        </w:tc>
        <w:tc>
          <w:tcPr>
            <w:tcW w:w="6703" w:type="dxa"/>
            <w:shd w:val="clear" w:color="auto" w:fill="auto"/>
            <w:vAlign w:val="bottom"/>
          </w:tcPr>
          <w:p w14:paraId="3B16C178"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4,24%</w:t>
            </w:r>
          </w:p>
        </w:tc>
      </w:tr>
      <w:tr w:rsidR="00A649C0" w:rsidRPr="0092461C" w14:paraId="427D8A7F" w14:textId="77777777" w:rsidTr="00526F8A">
        <w:tc>
          <w:tcPr>
            <w:tcW w:w="1993" w:type="dxa"/>
            <w:shd w:val="clear" w:color="auto" w:fill="auto"/>
          </w:tcPr>
          <w:p w14:paraId="38FEA15C"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Метали</w:t>
            </w:r>
          </w:p>
        </w:tc>
        <w:tc>
          <w:tcPr>
            <w:tcW w:w="6703" w:type="dxa"/>
            <w:shd w:val="clear" w:color="auto" w:fill="auto"/>
            <w:vAlign w:val="bottom"/>
          </w:tcPr>
          <w:p w14:paraId="1B8117DF"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4,78%</w:t>
            </w:r>
          </w:p>
        </w:tc>
      </w:tr>
      <w:tr w:rsidR="00A649C0" w:rsidRPr="0092461C" w14:paraId="143C6113" w14:textId="77777777" w:rsidTr="00526F8A">
        <w:tc>
          <w:tcPr>
            <w:tcW w:w="1993" w:type="dxa"/>
            <w:shd w:val="clear" w:color="auto" w:fill="auto"/>
          </w:tcPr>
          <w:p w14:paraId="653704B9"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Инертни &gt; 4 см</w:t>
            </w:r>
          </w:p>
        </w:tc>
        <w:tc>
          <w:tcPr>
            <w:tcW w:w="6703" w:type="dxa"/>
            <w:shd w:val="clear" w:color="auto" w:fill="auto"/>
            <w:vAlign w:val="bottom"/>
          </w:tcPr>
          <w:p w14:paraId="0ABD1E34"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3,39%</w:t>
            </w:r>
          </w:p>
        </w:tc>
      </w:tr>
      <w:tr w:rsidR="00A649C0" w:rsidRPr="0092461C" w14:paraId="7A20D896" w14:textId="77777777" w:rsidTr="00526F8A">
        <w:tc>
          <w:tcPr>
            <w:tcW w:w="1993" w:type="dxa"/>
            <w:shd w:val="clear" w:color="auto" w:fill="auto"/>
          </w:tcPr>
          <w:p w14:paraId="6B64C182"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Опасни</w:t>
            </w:r>
          </w:p>
        </w:tc>
        <w:tc>
          <w:tcPr>
            <w:tcW w:w="6703" w:type="dxa"/>
            <w:shd w:val="clear" w:color="auto" w:fill="auto"/>
            <w:vAlign w:val="bottom"/>
          </w:tcPr>
          <w:p w14:paraId="13608D7E"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0,94%</w:t>
            </w:r>
          </w:p>
        </w:tc>
      </w:tr>
      <w:tr w:rsidR="00A649C0" w:rsidRPr="0092461C" w14:paraId="1FD67ED6" w14:textId="77777777" w:rsidTr="00526F8A">
        <w:tc>
          <w:tcPr>
            <w:tcW w:w="1993" w:type="dxa"/>
            <w:shd w:val="clear" w:color="auto" w:fill="auto"/>
          </w:tcPr>
          <w:p w14:paraId="5921ED13"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Други</w:t>
            </w:r>
          </w:p>
        </w:tc>
        <w:tc>
          <w:tcPr>
            <w:tcW w:w="6703" w:type="dxa"/>
            <w:shd w:val="clear" w:color="auto" w:fill="auto"/>
            <w:vAlign w:val="bottom"/>
          </w:tcPr>
          <w:p w14:paraId="0590D20A"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4,02%</w:t>
            </w:r>
          </w:p>
        </w:tc>
      </w:tr>
      <w:tr w:rsidR="00A649C0" w:rsidRPr="0092461C" w14:paraId="410AC1D0" w14:textId="77777777" w:rsidTr="00526F8A">
        <w:tc>
          <w:tcPr>
            <w:tcW w:w="1993" w:type="dxa"/>
            <w:shd w:val="clear" w:color="auto" w:fill="auto"/>
          </w:tcPr>
          <w:p w14:paraId="02CC89E0"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 xml:space="preserve">Ситна </w:t>
            </w:r>
            <w:proofErr w:type="spellStart"/>
            <w:r w:rsidRPr="0092461C">
              <w:rPr>
                <w:rFonts w:eastAsia="Calibri"/>
                <w:iCs/>
                <w:sz w:val="18"/>
                <w:szCs w:val="18"/>
              </w:rPr>
              <w:t>фркация</w:t>
            </w:r>
            <w:proofErr w:type="spellEnd"/>
            <w:r w:rsidRPr="0092461C">
              <w:rPr>
                <w:rFonts w:eastAsia="Calibri"/>
                <w:iCs/>
                <w:sz w:val="18"/>
                <w:szCs w:val="18"/>
              </w:rPr>
              <w:t xml:space="preserve"> &lt; 4 см</w:t>
            </w:r>
          </w:p>
        </w:tc>
        <w:tc>
          <w:tcPr>
            <w:tcW w:w="6703" w:type="dxa"/>
            <w:shd w:val="clear" w:color="auto" w:fill="auto"/>
            <w:vAlign w:val="bottom"/>
          </w:tcPr>
          <w:p w14:paraId="7BD1F757"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sz w:val="18"/>
                <w:szCs w:val="18"/>
              </w:rPr>
              <w:t>23,94%</w:t>
            </w:r>
          </w:p>
        </w:tc>
      </w:tr>
      <w:tr w:rsidR="00A649C0" w:rsidRPr="0092461C" w14:paraId="2A463FF8" w14:textId="77777777" w:rsidTr="00526F8A">
        <w:tc>
          <w:tcPr>
            <w:tcW w:w="1993" w:type="dxa"/>
            <w:shd w:val="clear" w:color="auto" w:fill="auto"/>
          </w:tcPr>
          <w:p w14:paraId="54BA270C" w14:textId="77777777" w:rsidR="00A649C0" w:rsidRPr="0092461C" w:rsidRDefault="00A649C0" w:rsidP="00526F8A">
            <w:pPr>
              <w:tabs>
                <w:tab w:val="left" w:pos="993"/>
              </w:tabs>
              <w:spacing w:after="0" w:line="240" w:lineRule="auto"/>
              <w:jc w:val="both"/>
              <w:rPr>
                <w:rFonts w:eastAsia="Calibri"/>
                <w:iCs/>
                <w:sz w:val="18"/>
                <w:szCs w:val="18"/>
              </w:rPr>
            </w:pPr>
            <w:r w:rsidRPr="0092461C">
              <w:rPr>
                <w:rFonts w:eastAsia="Calibri"/>
                <w:iCs/>
                <w:sz w:val="18"/>
                <w:szCs w:val="18"/>
              </w:rPr>
              <w:t>Общо</w:t>
            </w:r>
          </w:p>
        </w:tc>
        <w:tc>
          <w:tcPr>
            <w:tcW w:w="6703" w:type="dxa"/>
            <w:shd w:val="clear" w:color="auto" w:fill="auto"/>
          </w:tcPr>
          <w:p w14:paraId="0478D313" w14:textId="77777777" w:rsidR="00A649C0" w:rsidRPr="0092461C" w:rsidRDefault="00A649C0" w:rsidP="00526F8A">
            <w:pPr>
              <w:tabs>
                <w:tab w:val="left" w:pos="993"/>
              </w:tabs>
              <w:spacing w:after="0" w:line="240" w:lineRule="auto"/>
              <w:jc w:val="right"/>
              <w:rPr>
                <w:rFonts w:eastAsia="Calibri"/>
                <w:iCs/>
                <w:sz w:val="18"/>
                <w:szCs w:val="18"/>
              </w:rPr>
            </w:pPr>
            <w:r w:rsidRPr="0092461C">
              <w:rPr>
                <w:rFonts w:eastAsia="Calibri"/>
                <w:iCs/>
                <w:sz w:val="18"/>
                <w:szCs w:val="18"/>
              </w:rPr>
              <w:t>100%</w:t>
            </w:r>
          </w:p>
        </w:tc>
      </w:tr>
    </w:tbl>
    <w:p w14:paraId="6410CC2E" w14:textId="77777777" w:rsidR="00A649C0" w:rsidRPr="00777004" w:rsidRDefault="00A649C0" w:rsidP="00A649C0">
      <w:pPr>
        <w:spacing w:after="120" w:line="240" w:lineRule="auto"/>
        <w:jc w:val="both"/>
        <w:rPr>
          <w:rFonts w:eastAsia="Calibri"/>
        </w:rPr>
      </w:pPr>
    </w:p>
    <w:p w14:paraId="7375FEAA" w14:textId="77777777" w:rsidR="00A649C0" w:rsidRPr="00777004" w:rsidRDefault="00A649C0" w:rsidP="00A649C0">
      <w:pPr>
        <w:spacing w:before="120" w:after="120" w:line="240" w:lineRule="auto"/>
        <w:ind w:firstLine="709"/>
        <w:jc w:val="both"/>
        <w:rPr>
          <w:rFonts w:eastAsia="Calibri"/>
        </w:rPr>
      </w:pPr>
      <w:r w:rsidRPr="00777004">
        <w:rPr>
          <w:rFonts w:eastAsia="Calibri"/>
        </w:rPr>
        <w:t>Бързо нараства делът на предадените за предварително третиране битови отпадъци, който към 2018 г. вече е 80% от всички битови отпадъци при 43% през 2015 г. По тези стойности община Габрово стои по-добре на фона на средните за страната резултати. Същевременно общината изостава по дял на рециклираните отпадъци, което може да се отчете като слабост.</w:t>
      </w: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827"/>
        <w:gridCol w:w="2126"/>
        <w:gridCol w:w="1985"/>
      </w:tblGrid>
      <w:tr w:rsidR="00A649C0" w:rsidRPr="00777004" w14:paraId="775C8E2F" w14:textId="77777777" w:rsidTr="00526F8A">
        <w:tc>
          <w:tcPr>
            <w:tcW w:w="1101" w:type="dxa"/>
            <w:shd w:val="clear" w:color="auto" w:fill="DAEEF3"/>
          </w:tcPr>
          <w:p w14:paraId="10B7A690" w14:textId="77777777" w:rsidR="00A649C0" w:rsidRPr="00777004" w:rsidRDefault="00A649C0" w:rsidP="00526F8A">
            <w:pPr>
              <w:spacing w:after="0" w:line="240" w:lineRule="auto"/>
              <w:jc w:val="center"/>
              <w:rPr>
                <w:rFonts w:eastAsia="Calibri"/>
                <w:bCs/>
                <w:sz w:val="20"/>
                <w:szCs w:val="20"/>
              </w:rPr>
            </w:pPr>
            <w:r w:rsidRPr="00777004">
              <w:rPr>
                <w:rFonts w:eastAsia="Calibri"/>
                <w:bCs/>
                <w:sz w:val="20"/>
                <w:szCs w:val="20"/>
              </w:rPr>
              <w:t>Година</w:t>
            </w:r>
          </w:p>
        </w:tc>
        <w:tc>
          <w:tcPr>
            <w:tcW w:w="3827" w:type="dxa"/>
            <w:shd w:val="clear" w:color="auto" w:fill="DAEEF3"/>
          </w:tcPr>
          <w:p w14:paraId="707D9DE1" w14:textId="77777777" w:rsidR="00A649C0" w:rsidRPr="00777004" w:rsidRDefault="00A649C0" w:rsidP="00526F8A">
            <w:pPr>
              <w:spacing w:after="0" w:line="240" w:lineRule="auto"/>
              <w:jc w:val="both"/>
              <w:rPr>
                <w:rFonts w:eastAsia="Calibri"/>
                <w:bCs/>
                <w:sz w:val="20"/>
                <w:szCs w:val="20"/>
              </w:rPr>
            </w:pPr>
            <w:r w:rsidRPr="00777004">
              <w:rPr>
                <w:rFonts w:eastAsia="Calibri"/>
                <w:bCs/>
                <w:sz w:val="20"/>
                <w:szCs w:val="20"/>
              </w:rPr>
              <w:t>Дял на битовите отпадъци</w:t>
            </w:r>
          </w:p>
        </w:tc>
        <w:tc>
          <w:tcPr>
            <w:tcW w:w="2126" w:type="dxa"/>
            <w:shd w:val="clear" w:color="auto" w:fill="DAEEF3"/>
          </w:tcPr>
          <w:p w14:paraId="1E1EAA17" w14:textId="77777777" w:rsidR="00A649C0" w:rsidRPr="00777004" w:rsidRDefault="00A649C0" w:rsidP="00526F8A">
            <w:pPr>
              <w:spacing w:after="0" w:line="240" w:lineRule="auto"/>
              <w:jc w:val="center"/>
              <w:rPr>
                <w:rFonts w:eastAsia="Calibri"/>
                <w:bCs/>
                <w:sz w:val="20"/>
                <w:szCs w:val="20"/>
              </w:rPr>
            </w:pPr>
            <w:r w:rsidRPr="00777004">
              <w:rPr>
                <w:rFonts w:eastAsia="Calibri"/>
                <w:bCs/>
                <w:sz w:val="20"/>
                <w:szCs w:val="20"/>
              </w:rPr>
              <w:t>Община Габрово</w:t>
            </w:r>
          </w:p>
        </w:tc>
        <w:tc>
          <w:tcPr>
            <w:tcW w:w="1985" w:type="dxa"/>
            <w:shd w:val="clear" w:color="auto" w:fill="DAEEF3"/>
          </w:tcPr>
          <w:p w14:paraId="196FF6D2" w14:textId="77777777" w:rsidR="00A649C0" w:rsidRPr="00777004" w:rsidRDefault="00A649C0" w:rsidP="00526F8A">
            <w:pPr>
              <w:spacing w:after="0" w:line="240" w:lineRule="auto"/>
              <w:jc w:val="both"/>
              <w:rPr>
                <w:rFonts w:eastAsia="Calibri"/>
                <w:bCs/>
                <w:sz w:val="20"/>
                <w:szCs w:val="20"/>
              </w:rPr>
            </w:pPr>
            <w:r w:rsidRPr="00777004">
              <w:rPr>
                <w:rFonts w:eastAsia="Calibri"/>
                <w:bCs/>
                <w:sz w:val="20"/>
                <w:szCs w:val="20"/>
              </w:rPr>
              <w:t>Средно за страната</w:t>
            </w:r>
          </w:p>
        </w:tc>
      </w:tr>
      <w:tr w:rsidR="00A649C0" w:rsidRPr="00777004" w14:paraId="6D492B37" w14:textId="77777777" w:rsidTr="00526F8A">
        <w:tc>
          <w:tcPr>
            <w:tcW w:w="1101" w:type="dxa"/>
            <w:vMerge w:val="restart"/>
            <w:vAlign w:val="center"/>
          </w:tcPr>
          <w:p w14:paraId="34C78E3F" w14:textId="77777777" w:rsidR="00A649C0" w:rsidRPr="00777004" w:rsidRDefault="00A649C0" w:rsidP="00526F8A">
            <w:pPr>
              <w:spacing w:after="0" w:line="240" w:lineRule="auto"/>
              <w:jc w:val="center"/>
              <w:rPr>
                <w:rFonts w:eastAsia="Calibri"/>
                <w:bCs/>
                <w:sz w:val="20"/>
                <w:szCs w:val="20"/>
              </w:rPr>
            </w:pPr>
            <w:r w:rsidRPr="00777004">
              <w:rPr>
                <w:rFonts w:eastAsia="Calibri"/>
                <w:bCs/>
                <w:sz w:val="20"/>
                <w:szCs w:val="20"/>
              </w:rPr>
              <w:t>2015 г.</w:t>
            </w:r>
          </w:p>
        </w:tc>
        <w:tc>
          <w:tcPr>
            <w:tcW w:w="3827" w:type="dxa"/>
          </w:tcPr>
          <w:p w14:paraId="66A8D363" w14:textId="77777777" w:rsidR="00A649C0" w:rsidRPr="00777004" w:rsidRDefault="00A649C0" w:rsidP="00526F8A">
            <w:pPr>
              <w:spacing w:after="0" w:line="240" w:lineRule="auto"/>
              <w:jc w:val="both"/>
              <w:rPr>
                <w:rFonts w:eastAsia="Calibri"/>
                <w:sz w:val="20"/>
                <w:szCs w:val="20"/>
              </w:rPr>
            </w:pPr>
            <w:r w:rsidRPr="00777004">
              <w:rPr>
                <w:rFonts w:eastAsia="Calibri"/>
                <w:sz w:val="20"/>
                <w:szCs w:val="20"/>
              </w:rPr>
              <w:t>Директно депонирани</w:t>
            </w:r>
          </w:p>
        </w:tc>
        <w:tc>
          <w:tcPr>
            <w:tcW w:w="2126" w:type="dxa"/>
          </w:tcPr>
          <w:p w14:paraId="75C26842"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52%</w:t>
            </w:r>
          </w:p>
        </w:tc>
        <w:tc>
          <w:tcPr>
            <w:tcW w:w="1985" w:type="dxa"/>
          </w:tcPr>
          <w:p w14:paraId="3E26B060"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62%</w:t>
            </w:r>
          </w:p>
        </w:tc>
      </w:tr>
      <w:tr w:rsidR="00A649C0" w:rsidRPr="00777004" w14:paraId="00F3E472" w14:textId="77777777" w:rsidTr="00526F8A">
        <w:tc>
          <w:tcPr>
            <w:tcW w:w="1101" w:type="dxa"/>
            <w:vMerge/>
            <w:vAlign w:val="center"/>
          </w:tcPr>
          <w:p w14:paraId="2B0BBCBE" w14:textId="77777777" w:rsidR="00A649C0" w:rsidRPr="00777004" w:rsidRDefault="00A649C0" w:rsidP="00526F8A">
            <w:pPr>
              <w:spacing w:after="0" w:line="240" w:lineRule="auto"/>
              <w:jc w:val="center"/>
              <w:rPr>
                <w:rFonts w:eastAsia="Calibri"/>
                <w:bCs/>
                <w:sz w:val="20"/>
                <w:szCs w:val="20"/>
              </w:rPr>
            </w:pPr>
          </w:p>
        </w:tc>
        <w:tc>
          <w:tcPr>
            <w:tcW w:w="3827" w:type="dxa"/>
          </w:tcPr>
          <w:p w14:paraId="7C547DE4" w14:textId="77777777" w:rsidR="00A649C0" w:rsidRPr="00777004" w:rsidRDefault="00A649C0" w:rsidP="00526F8A">
            <w:pPr>
              <w:spacing w:after="0" w:line="240" w:lineRule="auto"/>
              <w:jc w:val="both"/>
              <w:rPr>
                <w:rFonts w:eastAsia="Calibri"/>
                <w:sz w:val="20"/>
                <w:szCs w:val="20"/>
              </w:rPr>
            </w:pPr>
            <w:r w:rsidRPr="00777004">
              <w:rPr>
                <w:rFonts w:eastAsia="Calibri"/>
                <w:sz w:val="20"/>
                <w:szCs w:val="20"/>
              </w:rPr>
              <w:t>Предадени за предварително третиране</w:t>
            </w:r>
          </w:p>
        </w:tc>
        <w:tc>
          <w:tcPr>
            <w:tcW w:w="2126" w:type="dxa"/>
          </w:tcPr>
          <w:p w14:paraId="506E8EDC"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43%</w:t>
            </w:r>
          </w:p>
        </w:tc>
        <w:tc>
          <w:tcPr>
            <w:tcW w:w="1985" w:type="dxa"/>
          </w:tcPr>
          <w:p w14:paraId="3C6B71A7"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33%</w:t>
            </w:r>
          </w:p>
        </w:tc>
      </w:tr>
      <w:tr w:rsidR="00A649C0" w:rsidRPr="00777004" w14:paraId="38DA9CD4" w14:textId="77777777" w:rsidTr="00526F8A">
        <w:tc>
          <w:tcPr>
            <w:tcW w:w="1101" w:type="dxa"/>
            <w:vMerge/>
            <w:vAlign w:val="center"/>
          </w:tcPr>
          <w:p w14:paraId="278F958C" w14:textId="77777777" w:rsidR="00A649C0" w:rsidRPr="00777004" w:rsidRDefault="00A649C0" w:rsidP="00526F8A">
            <w:pPr>
              <w:spacing w:after="0" w:line="240" w:lineRule="auto"/>
              <w:jc w:val="center"/>
              <w:rPr>
                <w:rFonts w:eastAsia="Calibri"/>
                <w:bCs/>
                <w:sz w:val="20"/>
                <w:szCs w:val="20"/>
              </w:rPr>
            </w:pPr>
          </w:p>
        </w:tc>
        <w:tc>
          <w:tcPr>
            <w:tcW w:w="3827" w:type="dxa"/>
          </w:tcPr>
          <w:p w14:paraId="4A68F52D" w14:textId="77777777" w:rsidR="00A649C0" w:rsidRPr="00777004" w:rsidRDefault="00A649C0" w:rsidP="00526F8A">
            <w:pPr>
              <w:spacing w:after="0" w:line="240" w:lineRule="auto"/>
              <w:jc w:val="both"/>
              <w:rPr>
                <w:rFonts w:eastAsia="Calibri"/>
                <w:sz w:val="20"/>
                <w:szCs w:val="20"/>
              </w:rPr>
            </w:pPr>
            <w:r w:rsidRPr="00777004">
              <w:rPr>
                <w:rFonts w:eastAsia="Calibri"/>
                <w:sz w:val="20"/>
                <w:szCs w:val="20"/>
              </w:rPr>
              <w:t>Предадени за рециклиране</w:t>
            </w:r>
          </w:p>
        </w:tc>
        <w:tc>
          <w:tcPr>
            <w:tcW w:w="2126" w:type="dxa"/>
          </w:tcPr>
          <w:p w14:paraId="3792921B"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5%</w:t>
            </w:r>
          </w:p>
        </w:tc>
        <w:tc>
          <w:tcPr>
            <w:tcW w:w="1985" w:type="dxa"/>
          </w:tcPr>
          <w:p w14:paraId="0CFBF45F"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5%</w:t>
            </w:r>
          </w:p>
        </w:tc>
      </w:tr>
      <w:tr w:rsidR="00A649C0" w:rsidRPr="00777004" w14:paraId="367D9930" w14:textId="77777777" w:rsidTr="00526F8A">
        <w:tc>
          <w:tcPr>
            <w:tcW w:w="1101" w:type="dxa"/>
            <w:vMerge w:val="restart"/>
            <w:vAlign w:val="center"/>
          </w:tcPr>
          <w:p w14:paraId="35BF5353" w14:textId="77777777" w:rsidR="00A649C0" w:rsidRPr="00777004" w:rsidRDefault="00A649C0" w:rsidP="00526F8A">
            <w:pPr>
              <w:spacing w:after="0" w:line="240" w:lineRule="auto"/>
              <w:jc w:val="center"/>
              <w:rPr>
                <w:rFonts w:eastAsia="Calibri"/>
                <w:bCs/>
                <w:sz w:val="20"/>
                <w:szCs w:val="20"/>
              </w:rPr>
            </w:pPr>
            <w:r w:rsidRPr="00777004">
              <w:rPr>
                <w:rFonts w:eastAsia="Calibri"/>
                <w:bCs/>
                <w:sz w:val="20"/>
                <w:szCs w:val="20"/>
              </w:rPr>
              <w:t>2018 г.</w:t>
            </w:r>
          </w:p>
        </w:tc>
        <w:tc>
          <w:tcPr>
            <w:tcW w:w="3827" w:type="dxa"/>
          </w:tcPr>
          <w:p w14:paraId="07EC569F" w14:textId="77777777" w:rsidR="00A649C0" w:rsidRPr="00777004" w:rsidRDefault="00A649C0" w:rsidP="00526F8A">
            <w:pPr>
              <w:spacing w:after="0" w:line="240" w:lineRule="auto"/>
              <w:jc w:val="both"/>
              <w:rPr>
                <w:rFonts w:eastAsia="Calibri"/>
                <w:sz w:val="20"/>
                <w:szCs w:val="20"/>
              </w:rPr>
            </w:pPr>
            <w:r w:rsidRPr="00777004">
              <w:rPr>
                <w:rFonts w:eastAsia="Calibri"/>
                <w:sz w:val="20"/>
                <w:szCs w:val="20"/>
              </w:rPr>
              <w:t>Директно депонирани</w:t>
            </w:r>
          </w:p>
        </w:tc>
        <w:tc>
          <w:tcPr>
            <w:tcW w:w="2126" w:type="dxa"/>
          </w:tcPr>
          <w:p w14:paraId="10C3BF79"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15%</w:t>
            </w:r>
          </w:p>
        </w:tc>
        <w:tc>
          <w:tcPr>
            <w:tcW w:w="1985" w:type="dxa"/>
          </w:tcPr>
          <w:p w14:paraId="409530CA"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29%</w:t>
            </w:r>
          </w:p>
        </w:tc>
      </w:tr>
      <w:tr w:rsidR="00A649C0" w:rsidRPr="00777004" w14:paraId="73A62B54" w14:textId="77777777" w:rsidTr="00526F8A">
        <w:tc>
          <w:tcPr>
            <w:tcW w:w="1101" w:type="dxa"/>
            <w:vMerge/>
          </w:tcPr>
          <w:p w14:paraId="0B6A9E2F" w14:textId="77777777" w:rsidR="00A649C0" w:rsidRPr="00777004" w:rsidRDefault="00A649C0" w:rsidP="00526F8A">
            <w:pPr>
              <w:spacing w:after="0" w:line="240" w:lineRule="auto"/>
              <w:jc w:val="both"/>
              <w:rPr>
                <w:rFonts w:eastAsia="Calibri"/>
                <w:sz w:val="20"/>
                <w:szCs w:val="20"/>
              </w:rPr>
            </w:pPr>
          </w:p>
        </w:tc>
        <w:tc>
          <w:tcPr>
            <w:tcW w:w="3827" w:type="dxa"/>
          </w:tcPr>
          <w:p w14:paraId="14431917" w14:textId="77777777" w:rsidR="00A649C0" w:rsidRPr="00777004" w:rsidRDefault="00A649C0" w:rsidP="00526F8A">
            <w:pPr>
              <w:spacing w:after="0" w:line="240" w:lineRule="auto"/>
              <w:jc w:val="both"/>
              <w:rPr>
                <w:rFonts w:eastAsia="Calibri"/>
                <w:sz w:val="20"/>
                <w:szCs w:val="20"/>
              </w:rPr>
            </w:pPr>
            <w:r w:rsidRPr="00777004">
              <w:rPr>
                <w:rFonts w:eastAsia="Calibri"/>
                <w:sz w:val="20"/>
                <w:szCs w:val="20"/>
              </w:rPr>
              <w:t>Предадени за предварително третиране</w:t>
            </w:r>
          </w:p>
        </w:tc>
        <w:tc>
          <w:tcPr>
            <w:tcW w:w="2126" w:type="dxa"/>
          </w:tcPr>
          <w:p w14:paraId="6D263AAE"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80%</w:t>
            </w:r>
          </w:p>
        </w:tc>
        <w:tc>
          <w:tcPr>
            <w:tcW w:w="1985" w:type="dxa"/>
          </w:tcPr>
          <w:p w14:paraId="6EA60F4F"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63%</w:t>
            </w:r>
          </w:p>
        </w:tc>
      </w:tr>
      <w:tr w:rsidR="00A649C0" w:rsidRPr="00777004" w14:paraId="158889AF" w14:textId="77777777" w:rsidTr="00526F8A">
        <w:tc>
          <w:tcPr>
            <w:tcW w:w="1101" w:type="dxa"/>
            <w:vMerge/>
          </w:tcPr>
          <w:p w14:paraId="48D9296E" w14:textId="77777777" w:rsidR="00A649C0" w:rsidRPr="00777004" w:rsidRDefault="00A649C0" w:rsidP="00526F8A">
            <w:pPr>
              <w:spacing w:after="0" w:line="240" w:lineRule="auto"/>
              <w:jc w:val="both"/>
              <w:rPr>
                <w:rFonts w:eastAsia="Calibri"/>
                <w:sz w:val="20"/>
                <w:szCs w:val="20"/>
              </w:rPr>
            </w:pPr>
          </w:p>
        </w:tc>
        <w:tc>
          <w:tcPr>
            <w:tcW w:w="3827" w:type="dxa"/>
          </w:tcPr>
          <w:p w14:paraId="4E173ACD" w14:textId="77777777" w:rsidR="00A649C0" w:rsidRPr="00777004" w:rsidRDefault="00A649C0" w:rsidP="00526F8A">
            <w:pPr>
              <w:spacing w:after="0" w:line="240" w:lineRule="auto"/>
              <w:jc w:val="both"/>
              <w:rPr>
                <w:rFonts w:eastAsia="Calibri"/>
                <w:sz w:val="20"/>
                <w:szCs w:val="20"/>
              </w:rPr>
            </w:pPr>
            <w:r w:rsidRPr="00777004">
              <w:rPr>
                <w:rFonts w:eastAsia="Calibri"/>
                <w:sz w:val="20"/>
                <w:szCs w:val="20"/>
              </w:rPr>
              <w:t>Предадени за рециклиране</w:t>
            </w:r>
          </w:p>
        </w:tc>
        <w:tc>
          <w:tcPr>
            <w:tcW w:w="2126" w:type="dxa"/>
          </w:tcPr>
          <w:p w14:paraId="6C379C24"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5%</w:t>
            </w:r>
          </w:p>
        </w:tc>
        <w:tc>
          <w:tcPr>
            <w:tcW w:w="1985" w:type="dxa"/>
          </w:tcPr>
          <w:p w14:paraId="2C6E10D5" w14:textId="77777777" w:rsidR="00A649C0" w:rsidRPr="00777004" w:rsidRDefault="00A649C0" w:rsidP="00526F8A">
            <w:pPr>
              <w:spacing w:after="0" w:line="240" w:lineRule="auto"/>
              <w:jc w:val="center"/>
              <w:rPr>
                <w:rFonts w:eastAsia="Calibri"/>
                <w:sz w:val="20"/>
                <w:szCs w:val="20"/>
              </w:rPr>
            </w:pPr>
            <w:r w:rsidRPr="00777004">
              <w:rPr>
                <w:rFonts w:eastAsia="Calibri"/>
                <w:sz w:val="20"/>
                <w:szCs w:val="20"/>
              </w:rPr>
              <w:t>8%</w:t>
            </w:r>
          </w:p>
        </w:tc>
      </w:tr>
    </w:tbl>
    <w:p w14:paraId="3216AAEF" w14:textId="77777777" w:rsidR="00A649C0" w:rsidRPr="00777004" w:rsidRDefault="00A649C0" w:rsidP="00A649C0">
      <w:pPr>
        <w:spacing w:before="120" w:after="120" w:line="240" w:lineRule="auto"/>
        <w:ind w:firstLine="709"/>
        <w:jc w:val="both"/>
        <w:rPr>
          <w:rFonts w:eastAsia="Calibri"/>
          <w:iCs/>
          <w:sz w:val="20"/>
          <w:szCs w:val="20"/>
        </w:rPr>
      </w:pPr>
      <w:r w:rsidRPr="00777004">
        <w:rPr>
          <w:rFonts w:eastAsia="Calibri"/>
          <w:iCs/>
          <w:sz w:val="20"/>
          <w:szCs w:val="20"/>
        </w:rPr>
        <w:t>Източник: НСИ, ИПИ</w:t>
      </w:r>
    </w:p>
    <w:p w14:paraId="2AA85AAF"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Дейностите по събиране и извозване на битови отпадъци се осъществяват от общинско предприятие “Благоустрояване” – Габрово, което покрива на 100% всички 134 населени места и техните жители в общината по данни на РИОСВ Велико Търново. Събирането на битови отпадъци се извършваше в различни видове съдове, съобразени както с релефните и климатични особености на територията на община Габрово, така и със </w:t>
      </w:r>
      <w:r w:rsidRPr="00777004">
        <w:rPr>
          <w:rFonts w:eastAsia="Calibri"/>
        </w:rPr>
        <w:lastRenderedPageBreak/>
        <w:t>състоянието на пътната инфраструктура вътре в населените места и между самите тях, със степента и гъстотата на застрояване, в т.ч. с броя на домакинствата, заведенията, учрежденията и потенциалното количество отпадъци, генерирани от тях.</w:t>
      </w:r>
    </w:p>
    <w:p w14:paraId="17ABA678"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Смесените битови отпадъци са разделени на два потока „суха“ и „мокра“ фракция. Сухата фракция представлява </w:t>
      </w:r>
      <w:proofErr w:type="spellStart"/>
      <w:r w:rsidRPr="00777004">
        <w:rPr>
          <w:rFonts w:eastAsia="Calibri"/>
        </w:rPr>
        <w:t>рециклируемите</w:t>
      </w:r>
      <w:proofErr w:type="spellEnd"/>
      <w:r w:rsidRPr="00777004">
        <w:rPr>
          <w:rFonts w:eastAsia="Calibri"/>
        </w:rPr>
        <w:t xml:space="preserve"> отпадъци и такива, които не могат да ги замърсят (текстил, гумени изделия и др.) и се събира в жълти съдове. „Мократа“ фракция представлява биоразградимите отпадъци, като за тяхното събиране са разположени </w:t>
      </w:r>
      <w:proofErr w:type="spellStart"/>
      <w:r w:rsidRPr="00777004">
        <w:rPr>
          <w:rFonts w:eastAsia="Calibri"/>
        </w:rPr>
        <w:t>кафеви</w:t>
      </w:r>
      <w:proofErr w:type="spellEnd"/>
      <w:r w:rsidRPr="00777004">
        <w:rPr>
          <w:rFonts w:eastAsia="Calibri"/>
        </w:rPr>
        <w:t xml:space="preserve"> съдове. В малките населени места са разположени съдове само за „суха“ фракция, а за биоразградимите отпадъци са предоставени </w:t>
      </w:r>
      <w:proofErr w:type="spellStart"/>
      <w:r w:rsidRPr="00777004">
        <w:rPr>
          <w:rFonts w:eastAsia="Calibri"/>
        </w:rPr>
        <w:t>компостери</w:t>
      </w:r>
      <w:proofErr w:type="spellEnd"/>
      <w:r w:rsidRPr="00777004">
        <w:rPr>
          <w:rFonts w:eastAsia="Calibri"/>
        </w:rPr>
        <w:t xml:space="preserve"> на домакинствата за домашно компостиране.</w:t>
      </w:r>
    </w:p>
    <w:p w14:paraId="2F1E1A98"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В периода 2019-2020 г. в гр. Габрово са изградени шест площадки за подземно сметосъбиране. Всяка от тях е снабдена с 3 клетки – 2 за „суха“ фракция и 1 за биоразградими отпадъци. Всяка клетка е с обем 3 </w:t>
      </w:r>
      <w:r>
        <w:rPr>
          <w:rFonts w:eastAsia="Calibri"/>
          <w:lang w:val="en-US"/>
        </w:rPr>
        <w:t>m</w:t>
      </w:r>
      <w:r w:rsidRPr="00AA070E">
        <w:rPr>
          <w:rFonts w:eastAsia="Calibri"/>
          <w:vertAlign w:val="superscript"/>
          <w:lang w:val="en-US"/>
        </w:rPr>
        <w:t>3</w:t>
      </w:r>
      <w:r w:rsidRPr="00777004">
        <w:rPr>
          <w:rFonts w:eastAsia="Calibri"/>
        </w:rPr>
        <w:t>.</w:t>
      </w:r>
    </w:p>
    <w:p w14:paraId="30EEFA42" w14:textId="77777777" w:rsidR="00A649C0" w:rsidRPr="00777004" w:rsidRDefault="00A649C0" w:rsidP="00A649C0">
      <w:pPr>
        <w:spacing w:before="120" w:after="120" w:line="240" w:lineRule="auto"/>
        <w:ind w:firstLine="709"/>
        <w:jc w:val="both"/>
        <w:rPr>
          <w:rFonts w:eastAsia="Calibri"/>
        </w:rPr>
      </w:pPr>
      <w:r w:rsidRPr="00777004">
        <w:rPr>
          <w:rFonts w:eastAsia="Calibri"/>
        </w:rPr>
        <w:t>Изграждането на подземни контейнерни площадки значително оптимизира събирането и транспортирането, като предприятието към настоящия момент не разполага със специализиран камион за събирането им. С увеличаване на този тип контейнерни площадки, необходимостта от придобиване на такъв тип специализиран автомобил ще бъде належаща.</w:t>
      </w:r>
    </w:p>
    <w:p w14:paraId="5B0382ED" w14:textId="77777777" w:rsidR="00A649C0" w:rsidRPr="00777004" w:rsidRDefault="00A649C0" w:rsidP="00A649C0">
      <w:pPr>
        <w:spacing w:before="120" w:after="120" w:line="240" w:lineRule="auto"/>
        <w:ind w:firstLine="709"/>
        <w:jc w:val="both"/>
        <w:rPr>
          <w:rFonts w:eastAsia="Calibri"/>
        </w:rPr>
      </w:pPr>
      <w:r w:rsidRPr="00777004">
        <w:rPr>
          <w:rFonts w:eastAsia="Calibri"/>
        </w:rPr>
        <w:t>През юли 2020</w:t>
      </w:r>
      <w:r>
        <w:rPr>
          <w:rFonts w:eastAsia="Calibri"/>
          <w:lang w:val="en-US"/>
        </w:rPr>
        <w:t> </w:t>
      </w:r>
      <w:r w:rsidRPr="00777004">
        <w:rPr>
          <w:rFonts w:eastAsia="Calibri"/>
        </w:rPr>
        <w:t xml:space="preserve">г. бе одобрен и демонстрационен проект на Община Габрово, в рамките на който ще бъдат изградени умни, подземни площадки за разделно събиране на отпадъци, осигуряващи индивидуален достъп, отчитане на количество, сензори за </w:t>
      </w:r>
      <w:proofErr w:type="spellStart"/>
      <w:r w:rsidRPr="00777004">
        <w:rPr>
          <w:rFonts w:eastAsia="Calibri"/>
        </w:rPr>
        <w:t>запълняемост</w:t>
      </w:r>
      <w:proofErr w:type="spellEnd"/>
      <w:r w:rsidRPr="00777004">
        <w:rPr>
          <w:rFonts w:eastAsia="Calibri"/>
        </w:rPr>
        <w:t xml:space="preserve"> и система за събиране на данни. В рамките на проекта е предвидено изграждане на 4 площадки за споделено компостиране и разполагане на депозитна </w:t>
      </w:r>
      <w:proofErr w:type="spellStart"/>
      <w:r w:rsidRPr="00777004">
        <w:rPr>
          <w:rFonts w:eastAsia="Calibri"/>
        </w:rPr>
        <w:t>вендинг</w:t>
      </w:r>
      <w:proofErr w:type="spellEnd"/>
      <w:r w:rsidRPr="00777004">
        <w:rPr>
          <w:rFonts w:eastAsia="Calibri"/>
        </w:rPr>
        <w:t xml:space="preserve"> система.</w:t>
      </w:r>
    </w:p>
    <w:p w14:paraId="30C2ACD8" w14:textId="77777777" w:rsidR="00A649C0" w:rsidRPr="00777004" w:rsidRDefault="00A649C0" w:rsidP="00A649C0">
      <w:pPr>
        <w:spacing w:before="120" w:after="120" w:line="240" w:lineRule="auto"/>
        <w:ind w:firstLine="709"/>
        <w:jc w:val="both"/>
        <w:rPr>
          <w:rFonts w:eastAsia="Calibri"/>
        </w:rPr>
      </w:pPr>
      <w:r w:rsidRPr="00777004">
        <w:rPr>
          <w:rFonts w:eastAsia="Calibri"/>
        </w:rPr>
        <w:t>Битовите отпадъци в община Габрово постъпват на Регионалното депо. Тези от „Сухата“ фракция преминават през сепарираща инсталация, а „мократа“ фракция подлежи на компостиране. Тъй като събраните биоразградими отпадъци не отговарят на изискванията на Наредба за разделно събиране на биоотпадъците и третиране на биоразградимите отпадъци и са със съдържание на примеси повече от 10%, същите не са допустими за компостиране, а се депонират. На територията на Регионално депо за неопасни отпадъци, предназначено за общините Габрово и Трявна има изградена инсталация за компостиране, площадка за временно съхранение на строителни отпадъци от домакинствата и клетка за депониране. Има изградена и сепарираща инсталация, разположена в хале, находящо се на територията на регионалното депо. Инсталацията е собственост на външен оператор избран за изпълнител на услугата по предварително третиране на смесени битови отпадъци, след проведена процедура по реда на ЗОП. С цел намаляване депонирането на отпадъци, през 2019</w:t>
      </w:r>
      <w:r>
        <w:rPr>
          <w:rFonts w:eastAsia="Calibri"/>
          <w:lang w:val="en-US"/>
        </w:rPr>
        <w:t> </w:t>
      </w:r>
      <w:r w:rsidRPr="00777004">
        <w:rPr>
          <w:rFonts w:eastAsia="Calibri"/>
        </w:rPr>
        <w:t>г. Община Габрово е сключила споразумение за сътрудничество със специализирана фирма в областта на оползотворяване на дървесни отпадъци, негодни за компостиране – през 2019</w:t>
      </w:r>
      <w:r>
        <w:rPr>
          <w:rFonts w:eastAsia="Calibri"/>
          <w:lang w:val="en-US"/>
        </w:rPr>
        <w:t> </w:t>
      </w:r>
      <w:r w:rsidRPr="00777004">
        <w:rPr>
          <w:rFonts w:eastAsia="Calibri"/>
        </w:rPr>
        <w:t xml:space="preserve">г. са предадени 37,38 </w:t>
      </w:r>
      <w:r>
        <w:rPr>
          <w:rFonts w:eastAsia="Calibri"/>
          <w:lang w:val="en-US"/>
        </w:rPr>
        <w:t>t</w:t>
      </w:r>
      <w:r w:rsidRPr="00777004">
        <w:rPr>
          <w:rFonts w:eastAsia="Calibri"/>
        </w:rPr>
        <w:t xml:space="preserve">, а от януари до октомври 2020 г. – 266,66 </w:t>
      </w:r>
      <w:r>
        <w:rPr>
          <w:rFonts w:eastAsia="Calibri"/>
          <w:lang w:val="en-US"/>
        </w:rPr>
        <w:t>t</w:t>
      </w:r>
      <w:r w:rsidRPr="00777004">
        <w:rPr>
          <w:rFonts w:eastAsia="Calibri"/>
        </w:rPr>
        <w:t xml:space="preserve"> дървесни отпадъци. Този вид отпадъци се генерира от разкомплектоване на едрогабаритни отпадъци (мебели), както и директно транспортирани до регионалното депо дървесни плоскости.</w:t>
      </w:r>
    </w:p>
    <w:p w14:paraId="376D9FC7" w14:textId="77777777" w:rsidR="00A649C0" w:rsidRPr="00777004" w:rsidRDefault="00A649C0" w:rsidP="00A649C0">
      <w:pPr>
        <w:spacing w:before="120" w:after="120" w:line="240" w:lineRule="auto"/>
        <w:ind w:firstLine="709"/>
        <w:jc w:val="both"/>
        <w:rPr>
          <w:rFonts w:eastAsia="Calibri"/>
        </w:rPr>
      </w:pPr>
      <w:r w:rsidRPr="00777004">
        <w:rPr>
          <w:rFonts w:eastAsia="Calibri"/>
        </w:rPr>
        <w:t>През 2019</w:t>
      </w:r>
      <w:r>
        <w:rPr>
          <w:rFonts w:eastAsia="Calibri"/>
          <w:lang w:val="en-US"/>
        </w:rPr>
        <w:t> </w:t>
      </w:r>
      <w:r w:rsidRPr="00777004">
        <w:rPr>
          <w:rFonts w:eastAsia="Calibri"/>
        </w:rPr>
        <w:t>г. е сключено и споразумение за сътрудничество за рационално оползотворяване на отпадъци от текстил и облекло. През 2020</w:t>
      </w:r>
      <w:r>
        <w:rPr>
          <w:rFonts w:eastAsia="Calibri"/>
          <w:lang w:val="en-US"/>
        </w:rPr>
        <w:t> </w:t>
      </w:r>
      <w:r w:rsidRPr="00777004">
        <w:rPr>
          <w:rFonts w:eastAsia="Calibri"/>
        </w:rPr>
        <w:t>г. бяха разположени 11</w:t>
      </w:r>
      <w:r>
        <w:rPr>
          <w:rFonts w:eastAsia="Calibri"/>
          <w:lang w:val="en-US"/>
        </w:rPr>
        <w:t> </w:t>
      </w:r>
      <w:r w:rsidRPr="00777004">
        <w:rPr>
          <w:rFonts w:eastAsia="Calibri"/>
        </w:rPr>
        <w:t xml:space="preserve">бр. </w:t>
      </w:r>
      <w:r w:rsidRPr="00777004">
        <w:rPr>
          <w:rFonts w:eastAsia="Calibri"/>
        </w:rPr>
        <w:lastRenderedPageBreak/>
        <w:t>специализирани съда за събиране на отпадъци от облекла. Количествата, събрани и предадени отпадъци от облекла и текстил, са съответно 0,98</w:t>
      </w:r>
      <w:r>
        <w:rPr>
          <w:rFonts w:eastAsia="Calibri"/>
          <w:lang w:val="en-US"/>
        </w:rPr>
        <w:t> t</w:t>
      </w:r>
      <w:r w:rsidRPr="00777004">
        <w:rPr>
          <w:rFonts w:eastAsia="Calibri"/>
        </w:rPr>
        <w:t xml:space="preserve"> през 2019 и 127,80</w:t>
      </w:r>
      <w:r>
        <w:rPr>
          <w:rFonts w:eastAsia="Calibri"/>
          <w:lang w:val="en-US"/>
        </w:rPr>
        <w:t> t</w:t>
      </w:r>
      <w:r w:rsidRPr="00777004">
        <w:rPr>
          <w:rFonts w:eastAsia="Calibri"/>
        </w:rPr>
        <w:t xml:space="preserve"> до края на октомври месец 2020</w:t>
      </w:r>
      <w:r>
        <w:rPr>
          <w:rFonts w:eastAsia="Calibri"/>
          <w:lang w:val="en-US"/>
        </w:rPr>
        <w:t> </w:t>
      </w:r>
      <w:r w:rsidRPr="00777004">
        <w:rPr>
          <w:rFonts w:eastAsia="Calibri"/>
        </w:rPr>
        <w:t>г.</w:t>
      </w:r>
    </w:p>
    <w:p w14:paraId="03976FCF"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Въведена е система за събиране на отпадъци от опаковки на база договор между Община Габрово и организация по оползотворяване. </w:t>
      </w:r>
    </w:p>
    <w:p w14:paraId="63A91BDC" w14:textId="77777777" w:rsidR="00A649C0" w:rsidRPr="00777004" w:rsidRDefault="00A649C0" w:rsidP="00A649C0">
      <w:pPr>
        <w:spacing w:before="120" w:after="120" w:line="240" w:lineRule="auto"/>
        <w:ind w:firstLine="709"/>
        <w:jc w:val="both"/>
        <w:rPr>
          <w:rFonts w:eastAsia="Calibri"/>
        </w:rPr>
      </w:pPr>
      <w:r w:rsidRPr="00777004">
        <w:rPr>
          <w:rFonts w:eastAsia="Calibri"/>
        </w:rPr>
        <w:t>Въведена е система за разделно събиране на негодни за употреба отпадъци от електрическо и електронно оборудване, както и система за разделно събиране на негодни за употреба батерии и акумулатори, като на територията на общината са поставени 70 броя пластмасови кошчета за събиране на портативни батерии акумулатори.</w:t>
      </w:r>
    </w:p>
    <w:p w14:paraId="699EA195" w14:textId="77777777" w:rsidR="00A649C0" w:rsidRPr="00777004" w:rsidRDefault="00A649C0" w:rsidP="00A649C0">
      <w:pPr>
        <w:spacing w:before="120" w:after="120" w:line="240" w:lineRule="auto"/>
        <w:ind w:firstLine="709"/>
        <w:jc w:val="both"/>
        <w:rPr>
          <w:rFonts w:eastAsia="Calibri"/>
        </w:rPr>
      </w:pPr>
      <w:r w:rsidRPr="00777004">
        <w:rPr>
          <w:rFonts w:eastAsia="Calibri"/>
        </w:rPr>
        <w:t>Чрез договор с организация по оползотворяване Община Габрово осигурява събирането на излязло от употреба електрическо и електронно оборудване (ИУЕЕО). От 2018</w:t>
      </w:r>
      <w:r>
        <w:rPr>
          <w:rFonts w:eastAsia="Calibri"/>
          <w:lang w:val="en-US"/>
        </w:rPr>
        <w:t> </w:t>
      </w:r>
      <w:r w:rsidRPr="00777004">
        <w:rPr>
          <w:rFonts w:eastAsia="Calibri"/>
        </w:rPr>
        <w:t>г. Община Габрово осигурява и събиране на опасни отпадъци от домакинствата. Събирането се осъществява чрез мобилен пункт, който в рамките на две кампании – пролетна и есенна, посещава различни градски локации.</w:t>
      </w:r>
    </w:p>
    <w:p w14:paraId="05A9C918" w14:textId="77777777" w:rsidR="00A649C0" w:rsidRPr="00777004" w:rsidRDefault="00A649C0" w:rsidP="00A649C0">
      <w:pPr>
        <w:spacing w:before="120" w:after="120" w:line="240" w:lineRule="auto"/>
        <w:ind w:firstLine="709"/>
        <w:jc w:val="both"/>
        <w:rPr>
          <w:rFonts w:eastAsia="Calibri"/>
        </w:rPr>
      </w:pPr>
      <w:r w:rsidRPr="00777004">
        <w:rPr>
          <w:rFonts w:eastAsia="Calibri"/>
        </w:rPr>
        <w:t>С цел подпомагане на разделното събиране на отпадъци от домакинствата през юни месец 2019</w:t>
      </w:r>
      <w:r>
        <w:rPr>
          <w:rFonts w:eastAsia="Calibri"/>
          <w:lang w:val="en-US"/>
        </w:rPr>
        <w:t> </w:t>
      </w:r>
      <w:r w:rsidRPr="00777004">
        <w:rPr>
          <w:rFonts w:eastAsia="Calibri"/>
        </w:rPr>
        <w:t xml:space="preserve">г. стартира и мобилен пункт. Той е предназначен за събиране на отпадъци от хартия, картон, пластмаса, метал, стъкло, текстил, дребни електроуреди, негодни за употреба батерии, </w:t>
      </w:r>
      <w:proofErr w:type="spellStart"/>
      <w:r w:rsidRPr="00777004">
        <w:rPr>
          <w:rFonts w:eastAsia="Calibri"/>
        </w:rPr>
        <w:t>фритюрна</w:t>
      </w:r>
      <w:proofErr w:type="spellEnd"/>
      <w:r w:rsidRPr="00777004">
        <w:rPr>
          <w:rFonts w:eastAsia="Calibri"/>
        </w:rPr>
        <w:t xml:space="preserve"> мазнина, лекарствени продукти с изтекъл срок на годност, опаковки от бои, флакони от аерозоли и опаковки от почистващи препарати. Мобилния пункт за разделно събрани отпадъци от домакинствата обслужва кварталите на града по предварително изготвен график. През 2019</w:t>
      </w:r>
      <w:r>
        <w:rPr>
          <w:rFonts w:eastAsia="Calibri"/>
          <w:lang w:val="en-US"/>
        </w:rPr>
        <w:t> </w:t>
      </w:r>
      <w:r w:rsidRPr="00777004">
        <w:rPr>
          <w:rFonts w:eastAsia="Calibri"/>
        </w:rPr>
        <w:t>г. са събрани общо 1288,41</w:t>
      </w:r>
      <w:r>
        <w:rPr>
          <w:rFonts w:eastAsia="Calibri"/>
          <w:lang w:val="en-US"/>
        </w:rPr>
        <w:t> kg</w:t>
      </w:r>
      <w:r w:rsidRPr="00777004">
        <w:rPr>
          <w:rFonts w:eastAsia="Calibri"/>
        </w:rPr>
        <w:t xml:space="preserve"> отпадъци, а до октомври месец 2020</w:t>
      </w:r>
      <w:r>
        <w:rPr>
          <w:rFonts w:eastAsia="Calibri"/>
          <w:lang w:val="en-US"/>
        </w:rPr>
        <w:t> </w:t>
      </w:r>
      <w:r w:rsidRPr="00777004">
        <w:rPr>
          <w:rFonts w:eastAsia="Calibri"/>
        </w:rPr>
        <w:t>г. – 3135,90</w:t>
      </w:r>
      <w:r>
        <w:rPr>
          <w:rFonts w:eastAsia="Calibri"/>
          <w:lang w:val="en-US"/>
        </w:rPr>
        <w:t> kg</w:t>
      </w:r>
      <w:r w:rsidRPr="00777004">
        <w:rPr>
          <w:rFonts w:eastAsia="Calibri"/>
        </w:rPr>
        <w:t>. Това показва, че през 2020</w:t>
      </w:r>
      <w:r>
        <w:rPr>
          <w:rFonts w:eastAsia="Calibri"/>
          <w:lang w:val="en-US"/>
        </w:rPr>
        <w:t> </w:t>
      </w:r>
      <w:r w:rsidRPr="00777004">
        <w:rPr>
          <w:rFonts w:eastAsia="Calibri"/>
        </w:rPr>
        <w:t>г. интересът на гражданите към мобилния пункт се е увеличил, като за тези две години 127 домакинства</w:t>
      </w:r>
      <w:r>
        <w:rPr>
          <w:rFonts w:eastAsia="Calibri"/>
        </w:rPr>
        <w:t xml:space="preserve"> </w:t>
      </w:r>
      <w:r w:rsidRPr="00777004">
        <w:rPr>
          <w:rFonts w:eastAsia="Calibri"/>
        </w:rPr>
        <w:t>са предавали или периодично предават своите разделно събрани отпадъци.</w:t>
      </w:r>
    </w:p>
    <w:p w14:paraId="5D9449C6" w14:textId="77777777" w:rsidR="00A649C0" w:rsidRPr="00777004" w:rsidRDefault="00A649C0" w:rsidP="00A649C0">
      <w:pPr>
        <w:spacing w:before="120" w:after="120" w:line="240" w:lineRule="auto"/>
        <w:ind w:firstLine="709"/>
        <w:jc w:val="both"/>
        <w:rPr>
          <w:rFonts w:eastAsia="Calibri"/>
          <w:b/>
          <w:bCs/>
        </w:rPr>
      </w:pPr>
      <w:r w:rsidRPr="00777004">
        <w:rPr>
          <w:rFonts w:eastAsia="Calibri"/>
          <w:b/>
          <w:bCs/>
        </w:rPr>
        <w:t>Кампании за информираност и управление на отпадъците</w:t>
      </w:r>
    </w:p>
    <w:p w14:paraId="1CDF29A4" w14:textId="77777777" w:rsidR="00A649C0" w:rsidRPr="00777004" w:rsidRDefault="00A649C0" w:rsidP="00A649C0">
      <w:pPr>
        <w:spacing w:before="120" w:after="120" w:line="240" w:lineRule="auto"/>
        <w:ind w:firstLine="709"/>
        <w:jc w:val="both"/>
        <w:rPr>
          <w:rFonts w:eastAsia="Calibri"/>
        </w:rPr>
      </w:pPr>
      <w:r w:rsidRPr="00777004">
        <w:rPr>
          <w:rFonts w:eastAsia="Calibri"/>
        </w:rPr>
        <w:t>С изграждането на регионалното депо за отпадъци, което беше въведено в експлоатация през лятото на 2015</w:t>
      </w:r>
      <w:r>
        <w:rPr>
          <w:rFonts w:eastAsia="Calibri"/>
          <w:lang w:val="en-US"/>
        </w:rPr>
        <w:t> </w:t>
      </w:r>
      <w:r w:rsidRPr="00777004">
        <w:rPr>
          <w:rFonts w:eastAsia="Calibri"/>
        </w:rPr>
        <w:t xml:space="preserve">г., в община Габрово беше внедрена и напълно нова за жителите система за разделно събиране на отпадъците, състояща се в само два контейнера. В жълт контейнер, предназначен за сухата фракция, попадат всички подходящи за рециклиране вещи, изработени от стъкло, хартия, пластмаса, метал. В кафяв контейнер попада мократа фракция – остатъци от плодове и зеленчуци, трева, клонки, дървесина, кафе, чай и др. </w:t>
      </w:r>
    </w:p>
    <w:p w14:paraId="384D43F5"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С цел максимална информираност на жителите на Габрово бяха проведени редица разяснителни, образователни и атрактивни кампании, които да демонстрират новия модел на разделно събиране на отпадъците, както и да обяснят, че отпадъка не е „боклук“, а ресурс. </w:t>
      </w:r>
    </w:p>
    <w:p w14:paraId="0734DD82" w14:textId="77777777" w:rsidR="00A649C0" w:rsidRPr="00777004" w:rsidRDefault="00A649C0" w:rsidP="00A649C0">
      <w:pPr>
        <w:spacing w:before="120" w:after="120" w:line="240" w:lineRule="auto"/>
        <w:ind w:firstLine="709"/>
        <w:jc w:val="both"/>
        <w:rPr>
          <w:rFonts w:eastAsia="Calibri"/>
        </w:rPr>
      </w:pPr>
      <w:r w:rsidRPr="00777004">
        <w:rPr>
          <w:rFonts w:eastAsia="Calibri"/>
        </w:rPr>
        <w:t>Община Габрово е първата българска община, която се възползва още през 2014</w:t>
      </w:r>
      <w:r>
        <w:rPr>
          <w:rFonts w:eastAsia="Calibri"/>
          <w:lang w:val="en-US"/>
        </w:rPr>
        <w:t> </w:t>
      </w:r>
      <w:r w:rsidRPr="00777004">
        <w:rPr>
          <w:rFonts w:eastAsia="Calibri"/>
        </w:rPr>
        <w:t xml:space="preserve">г. от възможността да ползва до 7% от отчисленията по Наредба 7 за провеждане на информационни кампании и различни публични инициативи. </w:t>
      </w:r>
    </w:p>
    <w:p w14:paraId="12226CFE"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Основните предизвикателства пред Община Габрово бяха свързани в промяна на нагласите на населението по отношение на отпадъците, както и разработване на комуникационен план, в който да бъда заложени ясни и въздействащи публични и информационни събития. Идентифицирана бе необходимостта от разяснителна кампания за новите правила при разделното събиране, както и създаване на система от стимули и </w:t>
      </w:r>
      <w:r w:rsidRPr="00777004">
        <w:rPr>
          <w:rFonts w:eastAsia="Calibri"/>
        </w:rPr>
        <w:lastRenderedPageBreak/>
        <w:t xml:space="preserve">възможности, които да улеснят възприемането на системата за разделно събиране на отпадъци. Провеждането на кампаниите беше насочено към различни целеви групи и заинтересовани страни. Специален </w:t>
      </w:r>
      <w:proofErr w:type="spellStart"/>
      <w:r w:rsidRPr="00777004">
        <w:rPr>
          <w:rFonts w:eastAsia="Calibri"/>
        </w:rPr>
        <w:t>акцен</w:t>
      </w:r>
      <w:proofErr w:type="spellEnd"/>
      <w:r w:rsidRPr="00777004">
        <w:rPr>
          <w:rFonts w:eastAsia="Calibri"/>
        </w:rPr>
        <w:t xml:space="preserve"> бе поставен върху работата с децата и младите хора, на които разделното събиране на отпадъци беше представяно с атрактивни и въздействащи подходи. Като целеви груби бяха идентифицирани хората в работоспособна възраст, както и възрастните хора. До тях информацията достигаше както на хартиен носител, така и чрез различни медийни платформи – сайт, радио, социални мрежи. Основните усилия в работата с населението са концентрирани към работата с деца и младежи, тъй като те са бъдещите ползватели на системата, а създаването на навици и предаването на ясни и запомнящи се знания е от изключително значение за промяна в нагласите, такава че разделното събиране на отпадъци да се превърне в интуитивен процес.</w:t>
      </w:r>
    </w:p>
    <w:p w14:paraId="4DBBF88E" w14:textId="77777777" w:rsidR="00A649C0" w:rsidRPr="00777004" w:rsidRDefault="00A649C0" w:rsidP="00A649C0">
      <w:pPr>
        <w:spacing w:before="120" w:after="120" w:line="240" w:lineRule="auto"/>
        <w:ind w:firstLine="709"/>
        <w:jc w:val="both"/>
        <w:rPr>
          <w:rFonts w:eastAsia="Calibri"/>
        </w:rPr>
      </w:pPr>
      <w:r w:rsidRPr="00777004">
        <w:rPr>
          <w:rFonts w:eastAsia="Calibri"/>
        </w:rPr>
        <w:t>По време на реализиране на проекта бяха проведени множество информационни, атрактивни и въздействащи кампании, образователни състезания, концерти, еко уроци, много от които се превърнаха в традиционни прояви и продължават да се провеждат от Община Габрово. Една от ежегодните кампании е разпращането на информационни материали за разделното събиране на отпадъци, заедно с данъчните съобщения, които достигат до всички данъчно задължени лица в общината. От 2015</w:t>
      </w:r>
      <w:r>
        <w:rPr>
          <w:rFonts w:eastAsia="Calibri"/>
          <w:lang w:val="en-US"/>
        </w:rPr>
        <w:t> </w:t>
      </w:r>
      <w:r w:rsidRPr="00777004">
        <w:rPr>
          <w:rFonts w:eastAsia="Calibri"/>
        </w:rPr>
        <w:t>г. началото си водят кампании като „Био отпадък за компост“ и „Ненужна хартия за нова книга“ – инициативи, които като информират гражданите, така им стимулират (чрез награди) добрите постижения в разделното събиране.</w:t>
      </w:r>
    </w:p>
    <w:p w14:paraId="3F3B46D6" w14:textId="77777777" w:rsidR="00A649C0" w:rsidRPr="00777004" w:rsidRDefault="00A649C0" w:rsidP="00A649C0">
      <w:pPr>
        <w:spacing w:before="120" w:after="120" w:line="240" w:lineRule="auto"/>
        <w:ind w:firstLine="709"/>
        <w:jc w:val="both"/>
        <w:rPr>
          <w:rFonts w:eastAsia="Calibri"/>
        </w:rPr>
      </w:pPr>
      <w:r w:rsidRPr="00777004">
        <w:rPr>
          <w:rFonts w:eastAsia="Calibri"/>
        </w:rPr>
        <w:t>С цел информираност</w:t>
      </w:r>
      <w:r>
        <w:rPr>
          <w:rFonts w:eastAsia="Calibri"/>
        </w:rPr>
        <w:t xml:space="preserve"> </w:t>
      </w:r>
      <w:r w:rsidRPr="00777004">
        <w:rPr>
          <w:rFonts w:eastAsia="Calibri"/>
        </w:rPr>
        <w:t>на населението и утвърждаване на принципите на разделно събиране на отпадъците в община Габрово, през 2019</w:t>
      </w:r>
      <w:r>
        <w:rPr>
          <w:rFonts w:eastAsia="Calibri"/>
          <w:lang w:val="en-US"/>
        </w:rPr>
        <w:t> </w:t>
      </w:r>
      <w:r w:rsidRPr="00777004">
        <w:rPr>
          <w:rFonts w:eastAsia="Calibri"/>
        </w:rPr>
        <w:t>г. е разработена интернет платформа – chisto.gabrovo.bg. В сайта се съдържа актуална информация за възможностите за справяне с различните видове отпадъци, контакти на операторите с отпадъци, провеждани кампании и инициативи и друга полезна информация. Сайтът се популяризира посредством всички раздавани на гражданите печатни и промо материали.</w:t>
      </w:r>
    </w:p>
    <w:p w14:paraId="6019651E" w14:textId="77777777" w:rsidR="00A649C0" w:rsidRPr="00777004" w:rsidRDefault="00A649C0" w:rsidP="00A649C0">
      <w:pPr>
        <w:spacing w:before="120" w:after="120" w:line="240" w:lineRule="auto"/>
        <w:ind w:firstLine="709"/>
        <w:jc w:val="both"/>
        <w:rPr>
          <w:rFonts w:eastAsia="Calibri"/>
        </w:rPr>
      </w:pPr>
      <w:r w:rsidRPr="00777004">
        <w:rPr>
          <w:rFonts w:eastAsia="Calibri"/>
        </w:rPr>
        <w:t>Информационни табла за разделното събиране на отпадъците са поставени на 10 автобусни спирки през първото тримесечие на 2019</w:t>
      </w:r>
      <w:r>
        <w:rPr>
          <w:rFonts w:eastAsia="Calibri"/>
          <w:lang w:val="en-US"/>
        </w:rPr>
        <w:t> </w:t>
      </w:r>
      <w:r w:rsidRPr="00777004">
        <w:rPr>
          <w:rFonts w:eastAsia="Calibri"/>
        </w:rPr>
        <w:t>г. В началото на март 2019</w:t>
      </w:r>
      <w:r>
        <w:rPr>
          <w:rFonts w:eastAsia="Calibri"/>
          <w:lang w:val="en-US"/>
        </w:rPr>
        <w:t> </w:t>
      </w:r>
      <w:r w:rsidRPr="00777004">
        <w:rPr>
          <w:rFonts w:eastAsia="Calibri"/>
        </w:rPr>
        <w:t>г. е сключен договор за изработване и излъчване на радио клипове, които да предоставят на обществеността информация за дейностите по управление на отпадъците на територията на община Габрово. Рубриката се казва „Екологът говори“ и съдържа тематични послания, с честота 155 броя месечно.</w:t>
      </w:r>
    </w:p>
    <w:p w14:paraId="494926E2" w14:textId="77777777" w:rsidR="00A649C0" w:rsidRPr="00777004" w:rsidRDefault="00A649C0" w:rsidP="00A649C0">
      <w:pPr>
        <w:spacing w:before="120" w:after="120" w:line="240" w:lineRule="auto"/>
        <w:ind w:firstLine="709"/>
        <w:jc w:val="both"/>
        <w:rPr>
          <w:rFonts w:eastAsia="Calibri"/>
        </w:rPr>
      </w:pPr>
      <w:r w:rsidRPr="00777004">
        <w:rPr>
          <w:rFonts w:eastAsia="Calibri"/>
        </w:rPr>
        <w:t>Ежегодно се провеждат множество мероприятия, повечето от които са тематични и устойчиви във времето – Ден на Земята, Ден на околната среда, „Био отпадък за компост“, „Ненужна хартия за нова книга“, „Отпадък с кауза“, Дни на отворените врати на Регионалното депо, Еко уроци в детските градини и училищата и др.</w:t>
      </w:r>
    </w:p>
    <w:p w14:paraId="16659707" w14:textId="77777777" w:rsidR="00A649C0" w:rsidRPr="00777004" w:rsidRDefault="00A649C0" w:rsidP="00A649C0">
      <w:pPr>
        <w:spacing w:before="120" w:after="120" w:line="240" w:lineRule="auto"/>
        <w:ind w:firstLine="709"/>
        <w:jc w:val="both"/>
        <w:rPr>
          <w:rFonts w:eastAsia="Calibri"/>
        </w:rPr>
      </w:pPr>
      <w:r w:rsidRPr="00777004">
        <w:rPr>
          <w:rFonts w:eastAsia="Calibri"/>
        </w:rPr>
        <w:t>В началото на всяка година, заедно с данъчните съобщения, всички собственици на имоти в община Габрово получават различни информационни модули, съдържащи важна информация за разделното събиране на отпадъците. Разработени са множество печатни и рекламни материали, които се раздават по време на информационни шатри, срещи и дискусии или се използват като награди в множеството състезателни инициативи и викторини.</w:t>
      </w:r>
    </w:p>
    <w:p w14:paraId="525FA2BC" w14:textId="77777777" w:rsidR="00A649C0" w:rsidRPr="00777004" w:rsidRDefault="00A649C0" w:rsidP="00A649C0">
      <w:pPr>
        <w:spacing w:before="120" w:after="120" w:line="240" w:lineRule="auto"/>
        <w:ind w:firstLine="709"/>
        <w:jc w:val="both"/>
        <w:rPr>
          <w:rFonts w:eastAsia="Calibri"/>
        </w:rPr>
      </w:pPr>
      <w:r w:rsidRPr="00777004">
        <w:rPr>
          <w:rFonts w:eastAsia="Calibri"/>
        </w:rPr>
        <w:t xml:space="preserve">Освен това е създадена куклената постановка „Цветовете на боклука“, която и към момента присъства в афиша на Държавен куклен театър – Габрово. Чрез постановката по </w:t>
      </w:r>
      <w:r w:rsidRPr="00777004">
        <w:rPr>
          <w:rFonts w:eastAsia="Calibri"/>
        </w:rPr>
        <w:lastRenderedPageBreak/>
        <w:t>забавен и находчив начин на децата се представя системата за разделно събиране на отпадъците и значението, което има за превръщане на отпадъка в суровина.</w:t>
      </w:r>
    </w:p>
    <w:p w14:paraId="39F2F32B" w14:textId="77777777" w:rsidR="00A649C0" w:rsidRPr="00777004" w:rsidRDefault="00A649C0" w:rsidP="00A649C0">
      <w:pPr>
        <w:spacing w:before="120" w:after="120" w:line="240" w:lineRule="auto"/>
        <w:ind w:firstLine="709"/>
        <w:jc w:val="both"/>
        <w:rPr>
          <w:rFonts w:eastAsia="Calibri"/>
        </w:rPr>
      </w:pPr>
      <w:r w:rsidRPr="00777004">
        <w:rPr>
          <w:rFonts w:eastAsia="Calibri"/>
        </w:rPr>
        <w:t>През последните години се провежда и събитието „Арт на депото“, което предизвиква творческите умения на габровските деца, които оставят посланията си към природата върху стените на Регионалното депо. Провеждат се атрактивни флашмоб изяви, които провокират габровци чрез различни нетрадиционни случвания в централна градска част, а през настоящата година бе създаден и първият виртуален флашмоб.</w:t>
      </w:r>
    </w:p>
    <w:p w14:paraId="38678F8A" w14:textId="77777777" w:rsidR="00A649C0" w:rsidRPr="00777004" w:rsidRDefault="00A649C0" w:rsidP="00A649C0">
      <w:pPr>
        <w:spacing w:before="120" w:after="120" w:line="240" w:lineRule="auto"/>
        <w:ind w:firstLine="709"/>
        <w:jc w:val="both"/>
        <w:rPr>
          <w:rFonts w:eastAsia="Calibri"/>
        </w:rPr>
      </w:pPr>
      <w:r w:rsidRPr="00777004">
        <w:rPr>
          <w:rFonts w:eastAsia="Calibri"/>
        </w:rPr>
        <w:t>През 2019</w:t>
      </w:r>
      <w:r>
        <w:rPr>
          <w:rFonts w:eastAsia="Calibri"/>
          <w:lang w:val="en-US"/>
        </w:rPr>
        <w:t> </w:t>
      </w:r>
      <w:r w:rsidRPr="00777004">
        <w:rPr>
          <w:rFonts w:eastAsia="Calibri"/>
        </w:rPr>
        <w:t>г. стартира и първият Мобилен пункт за разделно събрани отпадъци от домакинствата, който обхожда габровските улици по предварително установен график и позволява на жителите на града да предадат своите отпадъци. В началото на 2020</w:t>
      </w:r>
      <w:r>
        <w:rPr>
          <w:rFonts w:eastAsia="Calibri"/>
          <w:lang w:val="en-US"/>
        </w:rPr>
        <w:t> </w:t>
      </w:r>
      <w:r w:rsidRPr="00777004">
        <w:rPr>
          <w:rFonts w:eastAsia="Calibri"/>
        </w:rPr>
        <w:t>г. е разработена първата настолна игра, изцяло посветена на разделното събиране на отпадъците – „Отпадък с късмет“.</w:t>
      </w:r>
    </w:p>
    <w:p w14:paraId="77FA6F94" w14:textId="77777777" w:rsidR="00A649C0" w:rsidRPr="00777004" w:rsidRDefault="00A649C0" w:rsidP="00A649C0">
      <w:pPr>
        <w:spacing w:before="120" w:after="120" w:line="240" w:lineRule="auto"/>
        <w:ind w:firstLine="709"/>
        <w:jc w:val="both"/>
        <w:rPr>
          <w:rFonts w:eastAsia="Calibri"/>
        </w:rPr>
      </w:pPr>
      <w:r w:rsidRPr="00777004">
        <w:rPr>
          <w:rFonts w:eastAsia="Calibri"/>
        </w:rPr>
        <w:t>Два пъти годишно, в рамките на два последователни дни, в град Габрово се организират кампании за безвъзмездно предаване на опасни отпадъци от домакинствата. Осигурена е възможност за предаване и на излязло от употреба електронно и електрическо оборудване, за което Община Габрово има сключен договор с лицензирана фирма.</w:t>
      </w:r>
    </w:p>
    <w:p w14:paraId="5D9787C9" w14:textId="77777777" w:rsidR="00A649C0" w:rsidRPr="00777004" w:rsidRDefault="00A649C0" w:rsidP="00A649C0">
      <w:pPr>
        <w:spacing w:before="120" w:after="120" w:line="240" w:lineRule="auto"/>
        <w:ind w:firstLine="709"/>
        <w:jc w:val="both"/>
        <w:rPr>
          <w:rFonts w:eastAsia="Calibri"/>
        </w:rPr>
      </w:pPr>
      <w:r w:rsidRPr="00777004">
        <w:rPr>
          <w:rFonts w:eastAsia="Calibri"/>
        </w:rPr>
        <w:t>През есента на 2020</w:t>
      </w:r>
      <w:r>
        <w:rPr>
          <w:rFonts w:eastAsia="Calibri"/>
          <w:lang w:val="en-US"/>
        </w:rPr>
        <w:t> </w:t>
      </w:r>
      <w:r w:rsidRPr="00777004">
        <w:rPr>
          <w:rFonts w:eastAsia="Calibri"/>
        </w:rPr>
        <w:t>г. Габрово спечели екологичната награда на Европейската комисия – „Европейски зелен лист“. Габрово е единственият град от Централна и Източна Европа, който е печелил наградата в нейната петгодишна история. Акцент в концепцията са постиженията в енергийната ефективност, благоустрояването на градската среда, придобивките в обществения транспорт, разделното събиране на отпадъците и кампаниите с гражданите.</w:t>
      </w:r>
    </w:p>
    <w:p w14:paraId="19411026" w14:textId="77777777" w:rsidR="00A649C0" w:rsidRDefault="00A649C0" w:rsidP="00A649C0">
      <w:pPr>
        <w:spacing w:after="0" w:line="240" w:lineRule="auto"/>
        <w:rPr>
          <w:szCs w:val="24"/>
        </w:rPr>
      </w:pPr>
    </w:p>
    <w:p w14:paraId="70154B62" w14:textId="77777777" w:rsidR="00A649C0" w:rsidRDefault="00A649C0" w:rsidP="00A649C0">
      <w:pPr>
        <w:spacing w:after="0" w:line="240" w:lineRule="auto"/>
        <w:rPr>
          <w:szCs w:val="24"/>
        </w:rPr>
      </w:pPr>
    </w:p>
    <w:p w14:paraId="715907E3" w14:textId="77777777" w:rsidR="00712352" w:rsidRDefault="00712352"/>
    <w:sectPr w:rsidR="0071235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89DA" w14:textId="77777777" w:rsidR="00A6482B" w:rsidRDefault="00A6482B" w:rsidP="00A649C0">
      <w:pPr>
        <w:spacing w:after="0" w:line="240" w:lineRule="auto"/>
      </w:pPr>
      <w:r>
        <w:separator/>
      </w:r>
    </w:p>
  </w:endnote>
  <w:endnote w:type="continuationSeparator" w:id="0">
    <w:p w14:paraId="2F729D09" w14:textId="77777777" w:rsidR="00A6482B" w:rsidRDefault="00A6482B" w:rsidP="00A6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C385" w14:textId="77777777" w:rsidR="00A649C0" w:rsidRDefault="00A64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726020"/>
      <w:docPartObj>
        <w:docPartGallery w:val="Page Numbers (Bottom of Page)"/>
        <w:docPartUnique/>
      </w:docPartObj>
    </w:sdtPr>
    <w:sdtEndPr>
      <w:rPr>
        <w:noProof/>
      </w:rPr>
    </w:sdtEndPr>
    <w:sdtContent>
      <w:p w14:paraId="2F3C331A" w14:textId="7E1F5678" w:rsidR="00A649C0" w:rsidRDefault="00A649C0">
        <w:pPr>
          <w:pStyle w:val="Footer"/>
          <w:jc w:val="right"/>
        </w:pPr>
        <w:r w:rsidRPr="00A649C0">
          <w:rPr>
            <w:sz w:val="18"/>
            <w:szCs w:val="20"/>
          </w:rPr>
          <w:fldChar w:fldCharType="begin"/>
        </w:r>
        <w:r w:rsidRPr="00A649C0">
          <w:rPr>
            <w:sz w:val="18"/>
            <w:szCs w:val="20"/>
          </w:rPr>
          <w:instrText xml:space="preserve"> PAGE   \* MERGEFORMAT </w:instrText>
        </w:r>
        <w:r w:rsidRPr="00A649C0">
          <w:rPr>
            <w:sz w:val="18"/>
            <w:szCs w:val="20"/>
          </w:rPr>
          <w:fldChar w:fldCharType="separate"/>
        </w:r>
        <w:r w:rsidRPr="00A649C0">
          <w:rPr>
            <w:noProof/>
            <w:sz w:val="18"/>
            <w:szCs w:val="20"/>
          </w:rPr>
          <w:t>2</w:t>
        </w:r>
        <w:r w:rsidRPr="00A649C0">
          <w:rPr>
            <w:noProof/>
            <w:sz w:val="18"/>
            <w:szCs w:val="20"/>
          </w:rPr>
          <w:fldChar w:fldCharType="end"/>
        </w:r>
      </w:p>
    </w:sdtContent>
  </w:sdt>
  <w:p w14:paraId="68D65D2D" w14:textId="77777777" w:rsidR="00A649C0" w:rsidRDefault="00A64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458E" w14:textId="77777777" w:rsidR="00A649C0" w:rsidRDefault="00A64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A84E" w14:textId="77777777" w:rsidR="00A6482B" w:rsidRDefault="00A6482B" w:rsidP="00A649C0">
      <w:pPr>
        <w:spacing w:after="0" w:line="240" w:lineRule="auto"/>
      </w:pPr>
      <w:r>
        <w:separator/>
      </w:r>
    </w:p>
  </w:footnote>
  <w:footnote w:type="continuationSeparator" w:id="0">
    <w:p w14:paraId="67BBA88F" w14:textId="77777777" w:rsidR="00A6482B" w:rsidRDefault="00A6482B" w:rsidP="00A64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CC54" w14:textId="77777777" w:rsidR="00A649C0" w:rsidRDefault="00A64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8265" w14:textId="77777777" w:rsidR="00A649C0" w:rsidRDefault="00A64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6366" w14:textId="77777777" w:rsidR="00A649C0" w:rsidRDefault="00A6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5D"/>
    <w:multiLevelType w:val="multilevel"/>
    <w:tmpl w:val="BD90D33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C0"/>
    <w:rsid w:val="000F6157"/>
    <w:rsid w:val="00712352"/>
    <w:rsid w:val="00A6482B"/>
    <w:rsid w:val="00A649C0"/>
    <w:rsid w:val="00A81FB9"/>
    <w:rsid w:val="00C25D33"/>
    <w:rsid w:val="00D3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9936C"/>
  <w15:chartTrackingRefBased/>
  <w15:docId w15:val="{BD82E351-08B3-4DFA-A17A-3C958B33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C0"/>
    <w:pPr>
      <w:spacing w:after="200" w:line="276" w:lineRule="auto"/>
    </w:pPr>
    <w:rPr>
      <w:rFonts w:ascii="Times New Roman" w:eastAsia="Times New Roman" w:hAnsi="Times New Roman" w:cs="Times New Roman"/>
      <w:sz w:val="24"/>
      <w:szCs w:val="28"/>
      <w:lang w:val="bg-BG"/>
    </w:rPr>
  </w:style>
  <w:style w:type="paragraph" w:styleId="Heading1">
    <w:name w:val="heading 1"/>
    <w:basedOn w:val="Normal"/>
    <w:next w:val="Normal"/>
    <w:link w:val="Heading1Char"/>
    <w:uiPriority w:val="9"/>
    <w:qFormat/>
    <w:rsid w:val="00A649C0"/>
    <w:pPr>
      <w:keepNext/>
      <w:numPr>
        <w:numId w:val="1"/>
      </w:numPr>
      <w:spacing w:before="80" w:after="0" w:line="240" w:lineRule="auto"/>
      <w:outlineLvl w:val="0"/>
    </w:pPr>
    <w:rPr>
      <w:rFonts w:eastAsia="Calibri"/>
      <w:bCs/>
      <w:szCs w:val="20"/>
      <w:lang w:val="x-none"/>
    </w:rPr>
  </w:style>
  <w:style w:type="paragraph" w:styleId="Heading2">
    <w:name w:val="heading 2"/>
    <w:basedOn w:val="Normal"/>
    <w:next w:val="Normal"/>
    <w:link w:val="Heading2Char"/>
    <w:uiPriority w:val="9"/>
    <w:qFormat/>
    <w:rsid w:val="00A649C0"/>
    <w:pPr>
      <w:keepNext/>
      <w:numPr>
        <w:ilvl w:val="1"/>
        <w:numId w:val="1"/>
      </w:numPr>
      <w:spacing w:after="0" w:line="240" w:lineRule="auto"/>
      <w:outlineLvl w:val="1"/>
    </w:pPr>
    <w:rPr>
      <w:rFonts w:ascii="Arial" w:eastAsia="Calibri" w:hAnsi="Arial" w:cs="Arial"/>
      <w:bCs/>
      <w:sz w:val="16"/>
      <w:szCs w:val="16"/>
      <w:lang w:eastAsia="bg-BG"/>
    </w:rPr>
  </w:style>
  <w:style w:type="paragraph" w:styleId="Heading3">
    <w:name w:val="heading 3"/>
    <w:basedOn w:val="Normal"/>
    <w:next w:val="Normal"/>
    <w:link w:val="Heading3Char"/>
    <w:uiPriority w:val="9"/>
    <w:qFormat/>
    <w:rsid w:val="00A649C0"/>
    <w:pPr>
      <w:keepNext/>
      <w:numPr>
        <w:ilvl w:val="2"/>
        <w:numId w:val="1"/>
      </w:numPr>
      <w:spacing w:before="360" w:after="240" w:line="240" w:lineRule="auto"/>
      <w:outlineLvl w:val="2"/>
    </w:pPr>
    <w:rPr>
      <w:rFonts w:eastAsia="Calibri"/>
      <w:bCs/>
      <w:szCs w:val="24"/>
      <w:lang w:val="en-GB"/>
    </w:rPr>
  </w:style>
  <w:style w:type="paragraph" w:styleId="Heading4">
    <w:name w:val="heading 4"/>
    <w:basedOn w:val="Normal"/>
    <w:next w:val="Normal"/>
    <w:link w:val="Heading4Char"/>
    <w:uiPriority w:val="9"/>
    <w:qFormat/>
    <w:rsid w:val="00A649C0"/>
    <w:pPr>
      <w:keepNext/>
      <w:keepLines/>
      <w:numPr>
        <w:ilvl w:val="3"/>
        <w:numId w:val="1"/>
      </w:numPr>
      <w:spacing w:before="200" w:after="0"/>
      <w:outlineLvl w:val="3"/>
    </w:pPr>
    <w:rPr>
      <w:rFonts w:ascii="Cambria" w:eastAsia="Calibri" w:hAnsi="Cambria"/>
      <w:b/>
      <w:bCs/>
      <w:i/>
      <w:iCs/>
    </w:rPr>
  </w:style>
  <w:style w:type="paragraph" w:styleId="Heading5">
    <w:name w:val="heading 5"/>
    <w:basedOn w:val="Normal"/>
    <w:next w:val="Normal"/>
    <w:link w:val="Heading5Char"/>
    <w:uiPriority w:val="9"/>
    <w:qFormat/>
    <w:rsid w:val="00A649C0"/>
    <w:pPr>
      <w:keepNext/>
      <w:keepLines/>
      <w:numPr>
        <w:ilvl w:val="4"/>
        <w:numId w:val="1"/>
      </w:numPr>
      <w:spacing w:before="200" w:after="240" w:line="360" w:lineRule="auto"/>
      <w:jc w:val="both"/>
      <w:outlineLvl w:val="4"/>
    </w:pPr>
    <w:rPr>
      <w:rFonts w:ascii="Cambria" w:eastAsia="Calibri" w:hAnsi="Cambria"/>
      <w:color w:val="243F60"/>
      <w:sz w:val="18"/>
      <w:szCs w:val="24"/>
      <w:lang w:eastAsia="bg-BG"/>
    </w:rPr>
  </w:style>
  <w:style w:type="paragraph" w:styleId="Heading6">
    <w:name w:val="heading 6"/>
    <w:basedOn w:val="Normal"/>
    <w:next w:val="Normal"/>
    <w:link w:val="Heading6Char"/>
    <w:uiPriority w:val="9"/>
    <w:qFormat/>
    <w:rsid w:val="00A649C0"/>
    <w:pPr>
      <w:keepNext/>
      <w:keepLines/>
      <w:numPr>
        <w:ilvl w:val="5"/>
        <w:numId w:val="1"/>
      </w:numPr>
      <w:spacing w:before="200" w:after="240" w:line="360" w:lineRule="auto"/>
      <w:jc w:val="both"/>
      <w:outlineLvl w:val="5"/>
    </w:pPr>
    <w:rPr>
      <w:rFonts w:ascii="Cambria" w:eastAsia="Calibri" w:hAnsi="Cambria"/>
      <w:i/>
      <w:iCs/>
      <w:color w:val="243F60"/>
      <w:sz w:val="18"/>
      <w:szCs w:val="24"/>
      <w:lang w:eastAsia="bg-BG"/>
    </w:rPr>
  </w:style>
  <w:style w:type="paragraph" w:styleId="Heading7">
    <w:name w:val="heading 7"/>
    <w:basedOn w:val="Normal"/>
    <w:next w:val="Normal"/>
    <w:link w:val="Heading7Char"/>
    <w:uiPriority w:val="9"/>
    <w:qFormat/>
    <w:rsid w:val="00A649C0"/>
    <w:pPr>
      <w:keepNext/>
      <w:keepLines/>
      <w:numPr>
        <w:ilvl w:val="6"/>
        <w:numId w:val="1"/>
      </w:numPr>
      <w:spacing w:before="200" w:after="240" w:line="360" w:lineRule="auto"/>
      <w:jc w:val="both"/>
      <w:outlineLvl w:val="6"/>
    </w:pPr>
    <w:rPr>
      <w:rFonts w:ascii="Cambria" w:eastAsia="Calibri" w:hAnsi="Cambria"/>
      <w:i/>
      <w:iCs/>
      <w:color w:val="404040"/>
      <w:sz w:val="18"/>
      <w:szCs w:val="24"/>
      <w:lang w:eastAsia="bg-BG"/>
    </w:rPr>
  </w:style>
  <w:style w:type="paragraph" w:styleId="Heading8">
    <w:name w:val="heading 8"/>
    <w:basedOn w:val="Normal"/>
    <w:next w:val="Normal"/>
    <w:link w:val="Heading8Char"/>
    <w:uiPriority w:val="9"/>
    <w:qFormat/>
    <w:rsid w:val="00A649C0"/>
    <w:pPr>
      <w:keepNext/>
      <w:keepLines/>
      <w:numPr>
        <w:ilvl w:val="7"/>
        <w:numId w:val="1"/>
      </w:numPr>
      <w:spacing w:before="200" w:after="240" w:line="360" w:lineRule="auto"/>
      <w:jc w:val="both"/>
      <w:outlineLvl w:val="7"/>
    </w:pPr>
    <w:rPr>
      <w:rFonts w:ascii="Cambria" w:eastAsia="Calibri" w:hAnsi="Cambria"/>
      <w:color w:val="404040"/>
      <w:sz w:val="20"/>
      <w:szCs w:val="20"/>
      <w:lang w:eastAsia="bg-BG"/>
    </w:rPr>
  </w:style>
  <w:style w:type="paragraph" w:styleId="Heading9">
    <w:name w:val="heading 9"/>
    <w:basedOn w:val="Normal"/>
    <w:next w:val="Normal"/>
    <w:link w:val="Heading9Char"/>
    <w:uiPriority w:val="9"/>
    <w:qFormat/>
    <w:rsid w:val="00A649C0"/>
    <w:pPr>
      <w:keepNext/>
      <w:keepLines/>
      <w:numPr>
        <w:ilvl w:val="8"/>
        <w:numId w:val="1"/>
      </w:numPr>
      <w:spacing w:before="200" w:after="240" w:line="360" w:lineRule="auto"/>
      <w:jc w:val="both"/>
      <w:outlineLvl w:val="8"/>
    </w:pPr>
    <w:rPr>
      <w:rFonts w:ascii="Cambria" w:eastAsia="Calibri" w:hAnsi="Cambria"/>
      <w:i/>
      <w:iCs/>
      <w:color w:val="404040"/>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9C0"/>
    <w:rPr>
      <w:rFonts w:ascii="Times New Roman" w:eastAsia="Calibri" w:hAnsi="Times New Roman" w:cs="Times New Roman"/>
      <w:bCs/>
      <w:sz w:val="24"/>
      <w:szCs w:val="20"/>
      <w:lang w:val="x-none"/>
    </w:rPr>
  </w:style>
  <w:style w:type="character" w:customStyle="1" w:styleId="Heading2Char">
    <w:name w:val="Heading 2 Char"/>
    <w:basedOn w:val="DefaultParagraphFont"/>
    <w:link w:val="Heading2"/>
    <w:uiPriority w:val="9"/>
    <w:rsid w:val="00A649C0"/>
    <w:rPr>
      <w:rFonts w:ascii="Arial" w:eastAsia="Calibri" w:hAnsi="Arial" w:cs="Arial"/>
      <w:bCs/>
      <w:sz w:val="16"/>
      <w:szCs w:val="16"/>
      <w:lang w:val="bg-BG" w:eastAsia="bg-BG"/>
    </w:rPr>
  </w:style>
  <w:style w:type="character" w:customStyle="1" w:styleId="Heading3Char">
    <w:name w:val="Heading 3 Char"/>
    <w:basedOn w:val="DefaultParagraphFont"/>
    <w:link w:val="Heading3"/>
    <w:uiPriority w:val="9"/>
    <w:rsid w:val="00A649C0"/>
    <w:rPr>
      <w:rFonts w:ascii="Times New Roman" w:eastAsia="Calibri" w:hAnsi="Times New Roman" w:cs="Times New Roman"/>
      <w:bCs/>
      <w:sz w:val="24"/>
      <w:szCs w:val="24"/>
      <w:lang w:val="en-GB"/>
    </w:rPr>
  </w:style>
  <w:style w:type="character" w:customStyle="1" w:styleId="Heading4Char">
    <w:name w:val="Heading 4 Char"/>
    <w:basedOn w:val="DefaultParagraphFont"/>
    <w:link w:val="Heading4"/>
    <w:uiPriority w:val="9"/>
    <w:rsid w:val="00A649C0"/>
    <w:rPr>
      <w:rFonts w:ascii="Cambria" w:eastAsia="Calibri" w:hAnsi="Cambria" w:cs="Times New Roman"/>
      <w:b/>
      <w:bCs/>
      <w:i/>
      <w:iCs/>
      <w:sz w:val="24"/>
      <w:szCs w:val="28"/>
      <w:lang w:val="bg-BG"/>
    </w:rPr>
  </w:style>
  <w:style w:type="character" w:customStyle="1" w:styleId="Heading5Char">
    <w:name w:val="Heading 5 Char"/>
    <w:basedOn w:val="DefaultParagraphFont"/>
    <w:link w:val="Heading5"/>
    <w:uiPriority w:val="9"/>
    <w:rsid w:val="00A649C0"/>
    <w:rPr>
      <w:rFonts w:ascii="Cambria" w:eastAsia="Calibri" w:hAnsi="Cambria" w:cs="Times New Roman"/>
      <w:color w:val="243F60"/>
      <w:sz w:val="18"/>
      <w:szCs w:val="24"/>
      <w:lang w:val="bg-BG" w:eastAsia="bg-BG"/>
    </w:rPr>
  </w:style>
  <w:style w:type="character" w:customStyle="1" w:styleId="Heading6Char">
    <w:name w:val="Heading 6 Char"/>
    <w:basedOn w:val="DefaultParagraphFont"/>
    <w:link w:val="Heading6"/>
    <w:uiPriority w:val="9"/>
    <w:rsid w:val="00A649C0"/>
    <w:rPr>
      <w:rFonts w:ascii="Cambria" w:eastAsia="Calibri" w:hAnsi="Cambria" w:cs="Times New Roman"/>
      <w:i/>
      <w:iCs/>
      <w:color w:val="243F60"/>
      <w:sz w:val="18"/>
      <w:szCs w:val="24"/>
      <w:lang w:val="bg-BG" w:eastAsia="bg-BG"/>
    </w:rPr>
  </w:style>
  <w:style w:type="character" w:customStyle="1" w:styleId="Heading7Char">
    <w:name w:val="Heading 7 Char"/>
    <w:basedOn w:val="DefaultParagraphFont"/>
    <w:link w:val="Heading7"/>
    <w:uiPriority w:val="9"/>
    <w:rsid w:val="00A649C0"/>
    <w:rPr>
      <w:rFonts w:ascii="Cambria" w:eastAsia="Calibri" w:hAnsi="Cambria" w:cs="Times New Roman"/>
      <w:i/>
      <w:iCs/>
      <w:color w:val="404040"/>
      <w:sz w:val="18"/>
      <w:szCs w:val="24"/>
      <w:lang w:val="bg-BG" w:eastAsia="bg-BG"/>
    </w:rPr>
  </w:style>
  <w:style w:type="character" w:customStyle="1" w:styleId="Heading8Char">
    <w:name w:val="Heading 8 Char"/>
    <w:basedOn w:val="DefaultParagraphFont"/>
    <w:link w:val="Heading8"/>
    <w:uiPriority w:val="9"/>
    <w:rsid w:val="00A649C0"/>
    <w:rPr>
      <w:rFonts w:ascii="Cambria" w:eastAsia="Calibri" w:hAnsi="Cambria" w:cs="Times New Roman"/>
      <w:color w:val="404040"/>
      <w:sz w:val="20"/>
      <w:szCs w:val="20"/>
      <w:lang w:val="bg-BG" w:eastAsia="bg-BG"/>
    </w:rPr>
  </w:style>
  <w:style w:type="character" w:customStyle="1" w:styleId="Heading9Char">
    <w:name w:val="Heading 9 Char"/>
    <w:basedOn w:val="DefaultParagraphFont"/>
    <w:link w:val="Heading9"/>
    <w:uiPriority w:val="9"/>
    <w:rsid w:val="00A649C0"/>
    <w:rPr>
      <w:rFonts w:ascii="Cambria" w:eastAsia="Calibri" w:hAnsi="Cambria" w:cs="Times New Roman"/>
      <w:i/>
      <w:iCs/>
      <w:color w:val="404040"/>
      <w:sz w:val="20"/>
      <w:szCs w:val="20"/>
      <w:lang w:val="bg-BG" w:eastAsia="bg-BG"/>
    </w:rPr>
  </w:style>
  <w:style w:type="paragraph" w:styleId="Header">
    <w:name w:val="header"/>
    <w:basedOn w:val="Normal"/>
    <w:link w:val="HeaderChar"/>
    <w:uiPriority w:val="99"/>
    <w:unhideWhenUsed/>
    <w:rsid w:val="00A649C0"/>
    <w:pPr>
      <w:tabs>
        <w:tab w:val="center" w:pos="4703"/>
        <w:tab w:val="right" w:pos="9406"/>
      </w:tabs>
      <w:spacing w:after="0" w:line="240" w:lineRule="auto"/>
    </w:pPr>
  </w:style>
  <w:style w:type="character" w:customStyle="1" w:styleId="HeaderChar">
    <w:name w:val="Header Char"/>
    <w:basedOn w:val="DefaultParagraphFont"/>
    <w:link w:val="Header"/>
    <w:uiPriority w:val="99"/>
    <w:rsid w:val="00A649C0"/>
    <w:rPr>
      <w:rFonts w:ascii="Times New Roman" w:eastAsia="Times New Roman" w:hAnsi="Times New Roman" w:cs="Times New Roman"/>
      <w:sz w:val="24"/>
      <w:szCs w:val="28"/>
      <w:lang w:val="bg-BG"/>
    </w:rPr>
  </w:style>
  <w:style w:type="paragraph" w:styleId="Footer">
    <w:name w:val="footer"/>
    <w:basedOn w:val="Normal"/>
    <w:link w:val="FooterChar"/>
    <w:uiPriority w:val="99"/>
    <w:unhideWhenUsed/>
    <w:rsid w:val="00A649C0"/>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49C0"/>
    <w:rPr>
      <w:rFonts w:ascii="Times New Roman" w:eastAsia="Times New Roman" w:hAnsi="Times New Roman" w:cs="Times New Roman"/>
      <w:sz w:val="24"/>
      <w:szCs w:val="2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100" b="1" i="0" u="none" strike="noStrike" kern="1200" cap="none" baseline="0">
                <a:solidFill>
                  <a:sysClr val="windowText" lastClr="000000"/>
                </a:solidFill>
                <a:latin typeface="+mn-lt"/>
                <a:ea typeface="+mn-ea"/>
                <a:cs typeface="+mn-cs"/>
              </a:defRPr>
            </a:pPr>
            <a:r>
              <a:rPr lang="bg-BG" sz="1100">
                <a:solidFill>
                  <a:sysClr val="windowText" lastClr="000000"/>
                </a:solidFill>
              </a:rPr>
              <a:t>Количества депониран отпадък, т. </a:t>
            </a:r>
          </a:p>
        </c:rich>
      </c:tx>
      <c:overlay val="0"/>
      <c:spPr>
        <a:noFill/>
        <a:ln>
          <a:noFill/>
        </a:ln>
        <a:effectLst/>
      </c:spPr>
    </c:title>
    <c:autoTitleDeleted val="0"/>
    <c:plotArea>
      <c:layout>
        <c:manualLayout>
          <c:layoutTarget val="inner"/>
          <c:xMode val="edge"/>
          <c:yMode val="edge"/>
          <c:x val="9.9420780945403797E-2"/>
          <c:y val="0.18743511273430313"/>
          <c:w val="0.87275563489386465"/>
          <c:h val="0.67748593090053932"/>
        </c:manualLayout>
      </c:layout>
      <c:lineChart>
        <c:grouping val="standard"/>
        <c:varyColors val="0"/>
        <c:ser>
          <c:idx val="0"/>
          <c:order val="0"/>
          <c:tx>
            <c:strRef>
              <c:f>Sheet1!$B$1</c:f>
              <c:strCache>
                <c:ptCount val="1"/>
                <c:pt idx="0">
                  <c:v>количества депониран отпадък, т. </c:v>
                </c:pt>
              </c:strCache>
            </c:strRef>
          </c:tx>
          <c:spPr>
            <a:ln w="22193" cap="rnd">
              <a:solidFill>
                <a:schemeClr val="accent1"/>
              </a:solidFill>
            </a:ln>
            <a:effectLst>
              <a:glow rad="139700">
                <a:schemeClr val="accent1">
                  <a:satMod val="175000"/>
                  <a:alpha val="14000"/>
                </a:schemeClr>
              </a:glow>
            </a:effectLst>
          </c:spPr>
          <c:marker>
            <c:symbol val="none"/>
          </c:marker>
          <c:dLbls>
            <c:dLbl>
              <c:idx val="0"/>
              <c:layout>
                <c:manualLayout>
                  <c:x val="-5.9218795567220803E-2"/>
                  <c:y val="-5.9523809523809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69-4DBE-BACE-FCB7887A26FD}"/>
                </c:ext>
              </c:extLst>
            </c:dLbl>
            <c:dLbl>
              <c:idx val="1"/>
              <c:layout>
                <c:manualLayout>
                  <c:x val="-5.3941017789442956E-2"/>
                  <c:y val="-5.55555555555554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69-4DBE-BACE-FCB7887A26FD}"/>
                </c:ext>
              </c:extLst>
            </c:dLbl>
            <c:dLbl>
              <c:idx val="2"/>
              <c:layout>
                <c:manualLayout>
                  <c:x val="-5.9218795567220803E-2"/>
                  <c:y val="-5.55555555555555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69-4DBE-BACE-FCB7887A26FD}"/>
                </c:ext>
              </c:extLst>
            </c:dLbl>
            <c:dLbl>
              <c:idx val="3"/>
              <c:layout>
                <c:manualLayout>
                  <c:x val="-5.9218795567220935E-2"/>
                  <c:y val="-5.55555555555554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69-4DBE-BACE-FCB7887A26F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г.</c:v>
                </c:pt>
                <c:pt idx="1">
                  <c:v>2017 г.</c:v>
                </c:pt>
                <c:pt idx="2">
                  <c:v>2018 г.</c:v>
                </c:pt>
                <c:pt idx="3">
                  <c:v>2019 г. </c:v>
                </c:pt>
              </c:strCache>
            </c:strRef>
          </c:cat>
          <c:val>
            <c:numRef>
              <c:f>Sheet1!$B$2:$B$5</c:f>
              <c:numCache>
                <c:formatCode>General</c:formatCode>
                <c:ptCount val="4"/>
                <c:pt idx="0">
                  <c:v>14695.76</c:v>
                </c:pt>
                <c:pt idx="1">
                  <c:v>15821.7</c:v>
                </c:pt>
                <c:pt idx="2">
                  <c:v>17233.79</c:v>
                </c:pt>
                <c:pt idx="3">
                  <c:v>18458.07</c:v>
                </c:pt>
              </c:numCache>
            </c:numRef>
          </c:val>
          <c:smooth val="0"/>
          <c:extLst>
            <c:ext xmlns:c16="http://schemas.microsoft.com/office/drawing/2014/chart" uri="{C3380CC4-5D6E-409C-BE32-E72D297353CC}">
              <c16:uniqueId val="{00000004-BC69-4DBE-BACE-FCB7887A26FD}"/>
            </c:ext>
          </c:extLst>
        </c:ser>
        <c:dLbls>
          <c:showLegendKey val="0"/>
          <c:showVal val="0"/>
          <c:showCatName val="0"/>
          <c:showSerName val="0"/>
          <c:showPercent val="0"/>
          <c:showBubbleSize val="0"/>
        </c:dLbls>
        <c:smooth val="0"/>
        <c:axId val="203389568"/>
        <c:axId val="204731136"/>
      </c:lineChart>
      <c:catAx>
        <c:axId val="203389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ysClr val="windowText" lastClr="000000"/>
                </a:solidFill>
                <a:latin typeface="+mn-lt"/>
                <a:ea typeface="+mn-ea"/>
                <a:cs typeface="+mn-cs"/>
              </a:defRPr>
            </a:pPr>
            <a:endParaRPr lang="en-US"/>
          </a:p>
        </c:txPr>
        <c:crossAx val="204731136"/>
        <c:crosses val="autoZero"/>
        <c:auto val="1"/>
        <c:lblAlgn val="ctr"/>
        <c:lblOffset val="100"/>
        <c:noMultiLvlLbl val="0"/>
      </c:catAx>
      <c:valAx>
        <c:axId val="20473113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ysClr val="windowText" lastClr="000000"/>
                </a:solidFill>
                <a:latin typeface="+mn-lt"/>
                <a:ea typeface="+mn-ea"/>
                <a:cs typeface="+mn-cs"/>
              </a:defRPr>
            </a:pPr>
            <a:endParaRPr lang="en-US"/>
          </a:p>
        </c:txPr>
        <c:crossAx val="203389568"/>
        <c:crosses val="autoZero"/>
        <c:crossBetween val="between"/>
      </c:valAx>
      <c:spPr>
        <a:noFill/>
        <a:ln w="25363">
          <a:noFill/>
        </a:ln>
      </c:spPr>
    </c:plotArea>
    <c:legend>
      <c:legendPos val="t"/>
      <c:layout>
        <c:manualLayout>
          <c:xMode val="edge"/>
          <c:yMode val="edge"/>
          <c:x val="0.46524733997056061"/>
          <c:y val="0.71696774344514513"/>
          <c:w val="0.43747280281064393"/>
          <c:h val="0.10561663451638489"/>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11"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7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r>
              <a:rPr lang="bg-BG" sz="700">
                <a:solidFill>
                  <a:sysClr val="windowText" lastClr="000000"/>
                </a:solidFill>
              </a:rPr>
              <a:t>Постъпващи</a:t>
            </a:r>
            <a:r>
              <a:rPr lang="bg-BG" sz="700" baseline="0">
                <a:solidFill>
                  <a:sysClr val="windowText" lastClr="000000"/>
                </a:solidFill>
              </a:rPr>
              <a:t> отпадъци на компостираща инсталация и произведен компост</a:t>
            </a:r>
            <a:endParaRPr lang="en-GB" sz="700">
              <a:solidFill>
                <a:sysClr val="windowText" lastClr="000000"/>
              </a:solidFill>
            </a:endParaRPr>
          </a:p>
        </c:rich>
      </c:tx>
      <c:overlay val="0"/>
      <c:spPr>
        <a:noFill/>
        <a:ln>
          <a:noFill/>
        </a:ln>
        <a:effectLst/>
      </c:spPr>
    </c:title>
    <c:autoTitleDeleted val="0"/>
    <c:plotArea>
      <c:layout>
        <c:manualLayout>
          <c:layoutTarget val="inner"/>
          <c:xMode val="edge"/>
          <c:yMode val="edge"/>
          <c:x val="7.4268229121711077E-2"/>
          <c:y val="0.20245185593824372"/>
          <c:w val="0.90137181265117172"/>
          <c:h val="0.55284240642414173"/>
        </c:manualLayout>
      </c:layout>
      <c:lineChart>
        <c:grouping val="standard"/>
        <c:varyColors val="0"/>
        <c:ser>
          <c:idx val="0"/>
          <c:order val="0"/>
          <c:tx>
            <c:strRef>
              <c:f>Sheet1!$B$1</c:f>
              <c:strCache>
                <c:ptCount val="1"/>
                <c:pt idx="0">
                  <c:v>постъпили отпадъци за компостиране, т. </c:v>
                </c:pt>
              </c:strCache>
            </c:strRef>
          </c:tx>
          <c:spPr>
            <a:ln w="34922"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6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г.</c:v>
                </c:pt>
                <c:pt idx="1">
                  <c:v>2017 г.</c:v>
                </c:pt>
                <c:pt idx="2">
                  <c:v>2018 г.</c:v>
                </c:pt>
                <c:pt idx="3">
                  <c:v>2019 г. </c:v>
                </c:pt>
              </c:strCache>
            </c:strRef>
          </c:cat>
          <c:val>
            <c:numRef>
              <c:f>Sheet1!$B$2:$B$5</c:f>
              <c:numCache>
                <c:formatCode>General</c:formatCode>
                <c:ptCount val="4"/>
                <c:pt idx="0">
                  <c:v>431.34000000000032</c:v>
                </c:pt>
                <c:pt idx="1">
                  <c:v>454.68</c:v>
                </c:pt>
                <c:pt idx="2">
                  <c:v>486.47999999999968</c:v>
                </c:pt>
                <c:pt idx="3">
                  <c:v>817.98</c:v>
                </c:pt>
              </c:numCache>
            </c:numRef>
          </c:val>
          <c:smooth val="0"/>
          <c:extLst>
            <c:ext xmlns:c16="http://schemas.microsoft.com/office/drawing/2014/chart" uri="{C3380CC4-5D6E-409C-BE32-E72D297353CC}">
              <c16:uniqueId val="{00000000-12B2-40DD-8941-4C5D714E97E3}"/>
            </c:ext>
          </c:extLst>
        </c:ser>
        <c:ser>
          <c:idx val="1"/>
          <c:order val="1"/>
          <c:tx>
            <c:strRef>
              <c:f>Sheet1!$C$1</c:f>
              <c:strCache>
                <c:ptCount val="1"/>
                <c:pt idx="0">
                  <c:v>произведен компост, т. </c:v>
                </c:pt>
              </c:strCache>
            </c:strRef>
          </c:tx>
          <c:spPr>
            <a:ln w="34922"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6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2016 г.</c:v>
                </c:pt>
                <c:pt idx="1">
                  <c:v>2017 г.</c:v>
                </c:pt>
                <c:pt idx="2">
                  <c:v>2018 г.</c:v>
                </c:pt>
                <c:pt idx="3">
                  <c:v>2019 г. </c:v>
                </c:pt>
              </c:strCache>
            </c:strRef>
          </c:cat>
          <c:val>
            <c:numRef>
              <c:f>Sheet1!$C$2:$C$5</c:f>
              <c:numCache>
                <c:formatCode>General</c:formatCode>
                <c:ptCount val="4"/>
                <c:pt idx="0">
                  <c:v>20</c:v>
                </c:pt>
                <c:pt idx="1">
                  <c:v>81.92</c:v>
                </c:pt>
                <c:pt idx="2">
                  <c:v>88.53</c:v>
                </c:pt>
                <c:pt idx="3">
                  <c:v>198.52</c:v>
                </c:pt>
              </c:numCache>
            </c:numRef>
          </c:val>
          <c:smooth val="0"/>
          <c:extLst>
            <c:ext xmlns:c16="http://schemas.microsoft.com/office/drawing/2014/chart" uri="{C3380CC4-5D6E-409C-BE32-E72D297353CC}">
              <c16:uniqueId val="{00000001-12B2-40DD-8941-4C5D714E97E3}"/>
            </c:ext>
          </c:extLst>
        </c:ser>
        <c:dLbls>
          <c:showLegendKey val="0"/>
          <c:showVal val="0"/>
          <c:showCatName val="0"/>
          <c:showSerName val="0"/>
          <c:showPercent val="0"/>
          <c:showBubbleSize val="0"/>
        </c:dLbls>
        <c:smooth val="0"/>
        <c:axId val="35565568"/>
        <c:axId val="35567104"/>
      </c:lineChart>
      <c:catAx>
        <c:axId val="35565568"/>
        <c:scaling>
          <c:orientation val="minMax"/>
        </c:scaling>
        <c:delete val="0"/>
        <c:axPos val="b"/>
        <c:numFmt formatCode="General" sourceLinked="1"/>
        <c:majorTickMark val="none"/>
        <c:minorTickMark val="none"/>
        <c:tickLblPos val="nextTo"/>
        <c:spPr>
          <a:noFill/>
          <a:ln w="9524" cap="flat" cmpd="sng" algn="ctr">
            <a:solidFill>
              <a:schemeClr val="lt1">
                <a:lumMod val="95000"/>
                <a:alpha val="10000"/>
              </a:schemeClr>
            </a:solidFill>
            <a:round/>
          </a:ln>
          <a:effectLst/>
        </c:spPr>
        <c:txPr>
          <a:bodyPr rot="-60000000" spcFirstLastPara="1" vertOverflow="ellipsis" vert="horz" wrap="square" anchor="ctr" anchorCtr="1"/>
          <a:lstStyle/>
          <a:p>
            <a:pPr>
              <a:defRPr lang="en-US" sz="700" b="0" i="0" u="none" strike="noStrike" kern="1200" baseline="0">
                <a:solidFill>
                  <a:sysClr val="windowText" lastClr="000000"/>
                </a:solidFill>
                <a:latin typeface="+mn-lt"/>
                <a:ea typeface="+mn-ea"/>
                <a:cs typeface="+mn-cs"/>
              </a:defRPr>
            </a:pPr>
            <a:endParaRPr lang="en-US"/>
          </a:p>
        </c:txPr>
        <c:crossAx val="35567104"/>
        <c:crosses val="autoZero"/>
        <c:auto val="1"/>
        <c:lblAlgn val="ctr"/>
        <c:lblOffset val="100"/>
        <c:noMultiLvlLbl val="0"/>
      </c:catAx>
      <c:valAx>
        <c:axId val="35567104"/>
        <c:scaling>
          <c:orientation val="minMax"/>
        </c:scaling>
        <c:delete val="0"/>
        <c:axPos val="l"/>
        <c:majorGridlines>
          <c:spPr>
            <a:ln w="9524"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ysClr val="windowText" lastClr="000000"/>
                </a:solidFill>
                <a:latin typeface="+mn-lt"/>
                <a:ea typeface="+mn-ea"/>
                <a:cs typeface="+mn-cs"/>
              </a:defRPr>
            </a:pPr>
            <a:endParaRPr lang="en-US"/>
          </a:p>
        </c:txPr>
        <c:crossAx val="35565568"/>
        <c:crosses val="autoZero"/>
        <c:crossBetween val="between"/>
      </c:valAx>
      <c:spPr>
        <a:noFill/>
        <a:ln w="25398">
          <a:noFill/>
        </a:ln>
      </c:spPr>
    </c:plotArea>
    <c:legend>
      <c:legendPos val="b"/>
      <c:overlay val="0"/>
      <c:spPr>
        <a:noFill/>
        <a:ln>
          <a:noFill/>
        </a:ln>
        <a:effectLst/>
      </c:spPr>
      <c:txPr>
        <a:bodyPr rot="0" spcFirstLastPara="1" vertOverflow="ellipsis" vert="horz" wrap="square" anchor="ctr" anchorCtr="1"/>
        <a:lstStyle/>
        <a:p>
          <a:pPr>
            <a:defRPr lang="en-US" sz="7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a:noFill/>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3172</Words>
  <Characters>18086</Characters>
  <Application>Microsoft Office Word</Application>
  <DocSecurity>0</DocSecurity>
  <Lines>150</Lines>
  <Paragraphs>42</Paragraphs>
  <ScaleCrop>false</ScaleCrop>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Hristova</dc:creator>
  <cp:keywords/>
  <dc:description/>
  <cp:lastModifiedBy>Violeta Hristova</cp:lastModifiedBy>
  <cp:revision>1</cp:revision>
  <dcterms:created xsi:type="dcterms:W3CDTF">2021-11-23T19:49:00Z</dcterms:created>
  <dcterms:modified xsi:type="dcterms:W3CDTF">2021-11-23T19:51:00Z</dcterms:modified>
</cp:coreProperties>
</file>